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F04" w:rsidRDefault="008636FE">
      <w:r>
        <w:rPr>
          <w:noProof/>
        </w:rPr>
        <mc:AlternateContent>
          <mc:Choice Requires="wps">
            <w:drawing>
              <wp:anchor distT="0" distB="0" distL="114300" distR="114300" simplePos="0" relativeHeight="251660288" behindDoc="0" locked="0" layoutInCell="1" allowOverlap="1">
                <wp:simplePos x="0" y="0"/>
                <wp:positionH relativeFrom="column">
                  <wp:posOffset>1352550</wp:posOffset>
                </wp:positionH>
                <wp:positionV relativeFrom="paragraph">
                  <wp:posOffset>-57149</wp:posOffset>
                </wp:positionV>
                <wp:extent cx="4926330" cy="1047750"/>
                <wp:effectExtent l="0" t="0" r="762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6330" cy="1047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0DA8" w:rsidRDefault="00DB0DA8" w:rsidP="00061A24">
                            <w:pPr>
                              <w:rPr>
                                <w:rFonts w:ascii="Engravers MT" w:hAnsi="Engravers MT"/>
                                <w:b/>
                                <w:sz w:val="32"/>
                                <w:szCs w:val="32"/>
                              </w:rPr>
                            </w:pPr>
                            <w:r w:rsidRPr="00050224">
                              <w:rPr>
                                <w:rFonts w:ascii="Engravers MT" w:hAnsi="Engravers MT"/>
                                <w:b/>
                                <w:sz w:val="32"/>
                                <w:szCs w:val="32"/>
                              </w:rPr>
                              <w:t>Golda Meir School</w:t>
                            </w:r>
                          </w:p>
                          <w:p w:rsidR="00997FCE" w:rsidRDefault="00335B4B" w:rsidP="00997FCE">
                            <w:pPr>
                              <w:rPr>
                                <w:rFonts w:ascii="Engravers MT" w:hAnsi="Engravers MT"/>
                                <w:b/>
                                <w:sz w:val="32"/>
                                <w:szCs w:val="32"/>
                              </w:rPr>
                            </w:pPr>
                            <w:r>
                              <w:rPr>
                                <w:rFonts w:ascii="Engravers MT" w:hAnsi="Engravers MT"/>
                                <w:b/>
                                <w:sz w:val="32"/>
                                <w:szCs w:val="32"/>
                              </w:rPr>
                              <w:t>Geometry</w:t>
                            </w:r>
                            <w:bookmarkStart w:id="0" w:name="_GoBack"/>
                            <w:bookmarkEnd w:id="0"/>
                          </w:p>
                          <w:p w:rsidR="00997FCE" w:rsidRDefault="00083D74" w:rsidP="00997FCE">
                            <w:pPr>
                              <w:rPr>
                                <w:rFonts w:ascii="Engravers MT" w:hAnsi="Engravers MT"/>
                                <w:b/>
                                <w:sz w:val="32"/>
                                <w:szCs w:val="32"/>
                              </w:rPr>
                            </w:pPr>
                            <w:r>
                              <w:rPr>
                                <w:rFonts w:ascii="Engravers MT" w:hAnsi="Engravers MT"/>
                                <w:b/>
                                <w:sz w:val="32"/>
                                <w:szCs w:val="32"/>
                              </w:rPr>
                              <w:t xml:space="preserve">Class Syllabus </w:t>
                            </w:r>
                          </w:p>
                          <w:p w:rsidR="00DB0DA8" w:rsidRPr="00050224" w:rsidRDefault="002F1098" w:rsidP="00997FCE">
                            <w:pPr>
                              <w:rPr>
                                <w:rFonts w:ascii="Engravers MT" w:hAnsi="Engravers MT"/>
                                <w:b/>
                                <w:sz w:val="32"/>
                                <w:szCs w:val="32"/>
                              </w:rPr>
                            </w:pPr>
                            <w:r>
                              <w:rPr>
                                <w:rFonts w:ascii="Engravers MT" w:hAnsi="Engravers MT"/>
                                <w:b/>
                                <w:sz w:val="32"/>
                                <w:szCs w:val="32"/>
                              </w:rPr>
                              <w:t>2017-2018</w:t>
                            </w:r>
                          </w:p>
                          <w:p w:rsidR="00DB0DA8" w:rsidRDefault="00DB0D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6.5pt;margin-top:-4.5pt;width:387.9pt;height: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3zc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UB6y0xtXgdODATc/wHbwDJE6c6/pZ4eUvm2J2vFra3XfcsKAXRZOJpOjI44LINv+&#10;nWZwDdl7HYGGxnYBEJKBAB1UejorE6hQ2CzKfPHqFZgo2LK0WC7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iZMOTN4AAAAKAQAADwAAAGRycy9kb3ducmV2LnhtbEyPwU6DQBCG7ya+w2ZMvJh2abUU&#10;kKVRE43X1j7AAFMgsrOE3Rb69o4nPU0m8+Wf7893s+3VhUbfOTawWkagiCtXd9wYOH69LxJQPiDX&#10;2DsmA1fysCtub3LMajfxni6H0CgJYZ+hgTaEIdPaVy1Z9Es3EMvt5EaLQdax0fWIk4TbXq+jKNYW&#10;O5YPLQ701lL1fThbA6fP6WGTTuVHOG73T/ErdtvSXY25v5tfnkEFmsMfDL/6og6FOJXuzLVXvYH1&#10;6lG6BAOLVKYAaZJIl1LITRyBLnL9v0LxAwAA//8DAFBLAQItABQABgAIAAAAIQC2gziS/gAAAOEB&#10;AAATAAAAAAAAAAAAAAAAAAAAAABbQ29udGVudF9UeXBlc10ueG1sUEsBAi0AFAAGAAgAAAAhADj9&#10;If/WAAAAlAEAAAsAAAAAAAAAAAAAAAAALwEAAF9yZWxzLy5yZWxzUEsBAi0AFAAGAAgAAAAhAFtz&#10;fNyEAgAAEAUAAA4AAAAAAAAAAAAAAAAALgIAAGRycy9lMm9Eb2MueG1sUEsBAi0AFAAGAAgAAAAh&#10;AImTDkzeAAAACgEAAA8AAAAAAAAAAAAAAAAA3gQAAGRycy9kb3ducmV2LnhtbFBLBQYAAAAABAAE&#10;APMAAADpBQAAAAA=&#10;" stroked="f">
                <v:textbox>
                  <w:txbxContent>
                    <w:p w:rsidR="00DB0DA8" w:rsidRDefault="00DB0DA8" w:rsidP="00061A24">
                      <w:pPr>
                        <w:rPr>
                          <w:rFonts w:ascii="Engravers MT" w:hAnsi="Engravers MT"/>
                          <w:b/>
                          <w:sz w:val="32"/>
                          <w:szCs w:val="32"/>
                        </w:rPr>
                      </w:pPr>
                      <w:r w:rsidRPr="00050224">
                        <w:rPr>
                          <w:rFonts w:ascii="Engravers MT" w:hAnsi="Engravers MT"/>
                          <w:b/>
                          <w:sz w:val="32"/>
                          <w:szCs w:val="32"/>
                        </w:rPr>
                        <w:t>Golda Meir School</w:t>
                      </w:r>
                    </w:p>
                    <w:p w:rsidR="00997FCE" w:rsidRDefault="00335B4B" w:rsidP="00997FCE">
                      <w:pPr>
                        <w:rPr>
                          <w:rFonts w:ascii="Engravers MT" w:hAnsi="Engravers MT"/>
                          <w:b/>
                          <w:sz w:val="32"/>
                          <w:szCs w:val="32"/>
                        </w:rPr>
                      </w:pPr>
                      <w:r>
                        <w:rPr>
                          <w:rFonts w:ascii="Engravers MT" w:hAnsi="Engravers MT"/>
                          <w:b/>
                          <w:sz w:val="32"/>
                          <w:szCs w:val="32"/>
                        </w:rPr>
                        <w:t>Geometry</w:t>
                      </w:r>
                      <w:bookmarkStart w:id="1" w:name="_GoBack"/>
                      <w:bookmarkEnd w:id="1"/>
                    </w:p>
                    <w:p w:rsidR="00997FCE" w:rsidRDefault="00083D74" w:rsidP="00997FCE">
                      <w:pPr>
                        <w:rPr>
                          <w:rFonts w:ascii="Engravers MT" w:hAnsi="Engravers MT"/>
                          <w:b/>
                          <w:sz w:val="32"/>
                          <w:szCs w:val="32"/>
                        </w:rPr>
                      </w:pPr>
                      <w:r>
                        <w:rPr>
                          <w:rFonts w:ascii="Engravers MT" w:hAnsi="Engravers MT"/>
                          <w:b/>
                          <w:sz w:val="32"/>
                          <w:szCs w:val="32"/>
                        </w:rPr>
                        <w:t xml:space="preserve">Class Syllabus </w:t>
                      </w:r>
                    </w:p>
                    <w:p w:rsidR="00DB0DA8" w:rsidRPr="00050224" w:rsidRDefault="002F1098" w:rsidP="00997FCE">
                      <w:pPr>
                        <w:rPr>
                          <w:rFonts w:ascii="Engravers MT" w:hAnsi="Engravers MT"/>
                          <w:b/>
                          <w:sz w:val="32"/>
                          <w:szCs w:val="32"/>
                        </w:rPr>
                      </w:pPr>
                      <w:r>
                        <w:rPr>
                          <w:rFonts w:ascii="Engravers MT" w:hAnsi="Engravers MT"/>
                          <w:b/>
                          <w:sz w:val="32"/>
                          <w:szCs w:val="32"/>
                        </w:rPr>
                        <w:t>2017-2018</w:t>
                      </w:r>
                    </w:p>
                    <w:p w:rsidR="00DB0DA8" w:rsidRDefault="00DB0DA8"/>
                  </w:txbxContent>
                </v:textbox>
              </v:shape>
            </w:pict>
          </mc:Fallback>
        </mc:AlternateContent>
      </w:r>
      <w:r w:rsidR="00833F04" w:rsidRPr="00833F04">
        <w:rPr>
          <w:noProof/>
        </w:rPr>
        <w:drawing>
          <wp:inline distT="0" distB="0" distL="0" distR="0">
            <wp:extent cx="1114425" cy="960895"/>
            <wp:effectExtent l="19050" t="0" r="9525" b="0"/>
            <wp:docPr id="6" name="Picture 1" descr="C:\Users\Owner\AppData\Local\Microsoft\Windows\Temporary Internet Files\Content.IE5\P3N0P7BI\MC9000885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Temporary Internet Files\Content.IE5\P3N0P7BI\MC900088510[1].wmf"/>
                    <pic:cNvPicPr>
                      <a:picLocks noChangeAspect="1" noChangeArrowheads="1"/>
                    </pic:cNvPicPr>
                  </pic:nvPicPr>
                  <pic:blipFill>
                    <a:blip r:embed="rId6" cstate="print"/>
                    <a:srcRect/>
                    <a:stretch>
                      <a:fillRect/>
                    </a:stretch>
                  </pic:blipFill>
                  <pic:spPr bwMode="auto">
                    <a:xfrm>
                      <a:off x="0" y="0"/>
                      <a:ext cx="1114425" cy="960895"/>
                    </a:xfrm>
                    <a:prstGeom prst="rect">
                      <a:avLst/>
                    </a:prstGeom>
                    <a:noFill/>
                    <a:ln w="9525">
                      <a:noFill/>
                      <a:miter lim="800000"/>
                      <a:headEnd/>
                      <a:tailEnd/>
                    </a:ln>
                  </pic:spPr>
                </pic:pic>
              </a:graphicData>
            </a:graphic>
          </wp:inline>
        </w:drawing>
      </w:r>
    </w:p>
    <w:p w:rsidR="00083D74" w:rsidRDefault="00083D74"/>
    <w:p w:rsidR="004A7FFC" w:rsidRDefault="004A7FFC">
      <w:r>
        <w:t>Welcome to</w:t>
      </w:r>
      <w:r w:rsidR="00997FCE">
        <w:t xml:space="preserve"> Algebra</w:t>
      </w:r>
      <w:r>
        <w:t>,</w:t>
      </w:r>
    </w:p>
    <w:p w:rsidR="004A7FFC" w:rsidRDefault="004A7FFC"/>
    <w:p w:rsidR="004A7FFC" w:rsidRDefault="006662EC">
      <w:r>
        <w:t>It’s a Beautiful Year for Mathematics. I begin each class by reminding students that every day is a great opportunity to learn.</w:t>
      </w:r>
      <w:r w:rsidR="003C0D0A">
        <w:t xml:space="preserve">  I am thinking about all the wonderful </w:t>
      </w:r>
      <w:r w:rsidR="00B425FA">
        <w:t xml:space="preserve">things </w:t>
      </w:r>
      <w:r w:rsidR="003C0D0A">
        <w:t>we are going to</w:t>
      </w:r>
      <w:r w:rsidR="009E57F4">
        <w:t xml:space="preserve"> have</w:t>
      </w:r>
      <w:r w:rsidR="00B425FA">
        <w:t xml:space="preserve"> to learn and experience</w:t>
      </w:r>
      <w:r w:rsidR="009E57F4">
        <w:t xml:space="preserve"> this year</w:t>
      </w:r>
      <w:r w:rsidR="00997FCE">
        <w:t>.</w:t>
      </w:r>
      <w:r w:rsidR="003C0D0A">
        <w:t xml:space="preserve"> With high school on the horizon much of this year will focus on the skills</w:t>
      </w:r>
      <w:r w:rsidR="00997FCE">
        <w:t xml:space="preserve"> necessary to be successful in high school</w:t>
      </w:r>
      <w:r w:rsidR="003C0D0A">
        <w:t xml:space="preserve"> class</w:t>
      </w:r>
      <w:r w:rsidR="00997FCE">
        <w:t>es</w:t>
      </w:r>
      <w:r w:rsidR="003C0D0A">
        <w:t xml:space="preserve">.  More important </w:t>
      </w:r>
      <w:r w:rsidR="00B425FA">
        <w:t>tha</w:t>
      </w:r>
      <w:r w:rsidR="003C0D0A">
        <w:t>n the mathematics each student will be learning is the habits they develop as students and young adults</w:t>
      </w:r>
      <w:r w:rsidR="00DF1B83">
        <w:t xml:space="preserve">. </w:t>
      </w:r>
    </w:p>
    <w:p w:rsidR="00DF1B83" w:rsidRDefault="00DF1B83"/>
    <w:p w:rsidR="003C0D0A" w:rsidRDefault="00DF1B83">
      <w:r>
        <w:t xml:space="preserve">I am a strong believer in the Growth Mindset.  Everyone can and should be able to do math.  There is no such thing as a math person or a non-math person.  Given enough time anyone can learn math.  The problem is most “non-math” people have not dedicated the necessary time towards the practice of mathematics.  </w:t>
      </w:r>
      <w:r w:rsidR="009E57F4">
        <w:t xml:space="preserve">Does it take discipline and focus to understand math… of course it does.  But it takes time to become good at anything.  Think of the things you are good at.  How much time have you spent doing those things in the past week? Month? Year? Imagine you put that much time into math.  Do you think you would be good at it? Well the process of becoming </w:t>
      </w:r>
      <w:r w:rsidR="006A5315">
        <w:t xml:space="preserve">good at math starts today.  </w:t>
      </w:r>
      <w:r w:rsidR="009E57F4">
        <w:t xml:space="preserve">I </w:t>
      </w:r>
      <w:r w:rsidR="00B425FA">
        <w:t xml:space="preserve">am excited </w:t>
      </w:r>
      <w:r w:rsidR="009E57F4">
        <w:t>to help</w:t>
      </w:r>
      <w:r w:rsidR="00B425FA">
        <w:t xml:space="preserve"> guide </w:t>
      </w:r>
      <w:r w:rsidR="009E57F4">
        <w:t>you in that process</w:t>
      </w:r>
      <w:r w:rsidR="00B425FA">
        <w:t>. Together we can make you even better at math.</w:t>
      </w:r>
      <w:r w:rsidR="009E57F4">
        <w:tab/>
      </w:r>
      <w:r w:rsidR="003C0D0A">
        <w:tab/>
      </w:r>
      <w:r w:rsidR="003C0D0A">
        <w:tab/>
      </w:r>
      <w:r w:rsidR="003C0D0A">
        <w:tab/>
      </w:r>
      <w:r w:rsidR="003C0D0A">
        <w:tab/>
      </w:r>
      <w:r w:rsidR="003C0D0A">
        <w:tab/>
      </w:r>
      <w:r w:rsidR="003C0D0A">
        <w:tab/>
      </w:r>
      <w:r w:rsidR="003C0D0A">
        <w:tab/>
      </w:r>
      <w:r w:rsidR="00061A24">
        <w:tab/>
      </w:r>
      <w:r w:rsidR="00061A24">
        <w:tab/>
      </w:r>
      <w:r w:rsidR="00B425FA">
        <w:tab/>
      </w:r>
      <w:r w:rsidR="00B425FA">
        <w:tab/>
      </w:r>
      <w:r w:rsidR="00B425FA">
        <w:tab/>
      </w:r>
      <w:r w:rsidR="00B425FA">
        <w:tab/>
      </w:r>
      <w:r w:rsidR="003C0D0A">
        <w:t>Sincerely,</w:t>
      </w:r>
    </w:p>
    <w:p w:rsidR="003C0D0A" w:rsidRDefault="003C0D0A">
      <w:r>
        <w:tab/>
      </w:r>
      <w:r>
        <w:tab/>
      </w:r>
      <w:r>
        <w:tab/>
      </w:r>
      <w:r>
        <w:tab/>
      </w:r>
      <w:r>
        <w:tab/>
      </w:r>
      <w:r>
        <w:tab/>
      </w:r>
      <w:r>
        <w:tab/>
      </w:r>
      <w:r>
        <w:tab/>
      </w:r>
      <w:r w:rsidR="00061A24">
        <w:tab/>
      </w:r>
      <w:r w:rsidR="00061A24">
        <w:tab/>
      </w:r>
      <w:r>
        <w:t>Mr. Benz</w:t>
      </w:r>
    </w:p>
    <w:p w:rsidR="004A7FFC" w:rsidRDefault="004A7FFC"/>
    <w:tbl>
      <w:tblPr>
        <w:tblStyle w:val="TableGrid"/>
        <w:tblW w:w="0" w:type="auto"/>
        <w:tblLook w:val="04A0" w:firstRow="1" w:lastRow="0" w:firstColumn="1" w:lastColumn="0" w:noHBand="0" w:noVBand="1"/>
      </w:tblPr>
      <w:tblGrid>
        <w:gridCol w:w="9350"/>
      </w:tblGrid>
      <w:tr w:rsidR="00833F04" w:rsidTr="004A7FFC">
        <w:trPr>
          <w:trHeight w:val="323"/>
        </w:trPr>
        <w:tc>
          <w:tcPr>
            <w:tcW w:w="9576" w:type="dxa"/>
            <w:shd w:val="clear" w:color="auto" w:fill="548DD4" w:themeFill="text2" w:themeFillTint="99"/>
          </w:tcPr>
          <w:p w:rsidR="00833F04" w:rsidRPr="00DB25A2" w:rsidRDefault="004A7FFC" w:rsidP="00DB25A2">
            <w:pPr>
              <w:rPr>
                <w:sz w:val="36"/>
                <w:szCs w:val="36"/>
              </w:rPr>
            </w:pPr>
            <w:r>
              <w:rPr>
                <w:sz w:val="32"/>
                <w:szCs w:val="32"/>
              </w:rPr>
              <w:t>Teacher</w:t>
            </w:r>
            <w:r w:rsidR="003C0D0A">
              <w:rPr>
                <w:sz w:val="32"/>
                <w:szCs w:val="32"/>
              </w:rPr>
              <w:t xml:space="preserve"> Contact</w:t>
            </w:r>
            <w:r>
              <w:rPr>
                <w:sz w:val="32"/>
                <w:szCs w:val="32"/>
              </w:rPr>
              <w:t xml:space="preserve"> Information</w:t>
            </w:r>
            <w:r w:rsidR="00DB25A2" w:rsidRPr="00DB25A2">
              <w:rPr>
                <w:sz w:val="36"/>
                <w:szCs w:val="36"/>
              </w:rPr>
              <w:t>:</w:t>
            </w:r>
          </w:p>
        </w:tc>
      </w:tr>
      <w:tr w:rsidR="00833F04" w:rsidTr="0050651F">
        <w:trPr>
          <w:trHeight w:val="890"/>
        </w:trPr>
        <w:tc>
          <w:tcPr>
            <w:tcW w:w="9576" w:type="dxa"/>
          </w:tcPr>
          <w:p w:rsidR="00083D74" w:rsidRDefault="00083D74" w:rsidP="0050651F"/>
          <w:p w:rsidR="002F1098" w:rsidRDefault="002F1098" w:rsidP="002F1098">
            <w:pPr>
              <w:rPr>
                <w:sz w:val="24"/>
              </w:rPr>
            </w:pPr>
            <w:r w:rsidRPr="00083D74">
              <w:rPr>
                <w:sz w:val="24"/>
              </w:rPr>
              <w:t>Mr. David Benz [Rooms</w:t>
            </w:r>
            <w:r>
              <w:rPr>
                <w:sz w:val="24"/>
              </w:rPr>
              <w:t xml:space="preserve"> 422</w:t>
            </w:r>
            <w:r w:rsidRPr="00083D74">
              <w:rPr>
                <w:sz w:val="24"/>
              </w:rPr>
              <w:t>]</w:t>
            </w:r>
          </w:p>
          <w:p w:rsidR="002F1098" w:rsidRDefault="002F1098" w:rsidP="002F1098">
            <w:pPr>
              <w:rPr>
                <w:rStyle w:val="Hyperlink"/>
                <w:color w:val="auto"/>
                <w:sz w:val="24"/>
                <w:u w:val="none"/>
              </w:rPr>
            </w:pPr>
            <w:hyperlink r:id="rId7" w:history="1">
              <w:r w:rsidRPr="00412D49">
                <w:rPr>
                  <w:rStyle w:val="Hyperlink"/>
                  <w:sz w:val="24"/>
                </w:rPr>
                <w:t>benzd@milwaukee.k12.wi.us</w:t>
              </w:r>
            </w:hyperlink>
            <w:r>
              <w:rPr>
                <w:rStyle w:val="Hyperlink"/>
                <w:sz w:val="24"/>
                <w:u w:val="none"/>
              </w:rPr>
              <w:t xml:space="preserve"> </w:t>
            </w:r>
            <w:r>
              <w:rPr>
                <w:rStyle w:val="Hyperlink"/>
                <w:color w:val="auto"/>
                <w:sz w:val="24"/>
                <w:u w:val="none"/>
              </w:rPr>
              <w:t>– preferred</w:t>
            </w:r>
          </w:p>
          <w:p w:rsidR="006A5315" w:rsidRPr="00083D74" w:rsidRDefault="002F1098" w:rsidP="002F1098">
            <w:pPr>
              <w:rPr>
                <w:sz w:val="24"/>
              </w:rPr>
            </w:pPr>
            <w:r>
              <w:rPr>
                <w:sz w:val="24"/>
              </w:rPr>
              <w:t>(414) 758 - 2500</w:t>
            </w:r>
          </w:p>
        </w:tc>
      </w:tr>
      <w:tr w:rsidR="00DB0DA8" w:rsidTr="00083D74">
        <w:trPr>
          <w:trHeight w:val="305"/>
        </w:trPr>
        <w:tc>
          <w:tcPr>
            <w:tcW w:w="9576" w:type="dxa"/>
            <w:shd w:val="clear" w:color="auto" w:fill="548DD4" w:themeFill="text2" w:themeFillTint="99"/>
          </w:tcPr>
          <w:p w:rsidR="00DB0DA8" w:rsidRDefault="00FE2C09" w:rsidP="00DE0C51">
            <w:r>
              <w:rPr>
                <w:sz w:val="32"/>
                <w:szCs w:val="32"/>
                <w:shd w:val="clear" w:color="auto" w:fill="548DD4" w:themeFill="text2" w:themeFillTint="99"/>
              </w:rPr>
              <w:t>C</w:t>
            </w:r>
            <w:r w:rsidR="004A7FFC">
              <w:rPr>
                <w:sz w:val="32"/>
                <w:szCs w:val="32"/>
                <w:shd w:val="clear" w:color="auto" w:fill="548DD4" w:themeFill="text2" w:themeFillTint="99"/>
              </w:rPr>
              <w:t>ourse Materials:</w:t>
            </w:r>
          </w:p>
        </w:tc>
      </w:tr>
      <w:tr w:rsidR="00DB0DA8" w:rsidTr="00061A24">
        <w:trPr>
          <w:trHeight w:val="620"/>
        </w:trPr>
        <w:tc>
          <w:tcPr>
            <w:tcW w:w="9576" w:type="dxa"/>
            <w:tcBorders>
              <w:bottom w:val="single" w:sz="4" w:space="0" w:color="auto"/>
            </w:tcBorders>
          </w:tcPr>
          <w:p w:rsidR="00061A24" w:rsidRDefault="00061A24"/>
          <w:p w:rsidR="00061A24" w:rsidRDefault="00061A24">
            <w:r>
              <w:t>Students are expected to have these materials with them EVERYDAY:</w:t>
            </w:r>
          </w:p>
          <w:p w:rsidR="00061A24" w:rsidRDefault="00061A24"/>
          <w:p w:rsidR="00061A24" w:rsidRDefault="00061A24" w:rsidP="00DE0C51">
            <w:pPr>
              <w:pStyle w:val="ListParagraph"/>
              <w:numPr>
                <w:ilvl w:val="0"/>
                <w:numId w:val="10"/>
              </w:numPr>
            </w:pPr>
            <w:r>
              <w:t>Binder with</w:t>
            </w:r>
            <w:r w:rsidR="00DE0C51">
              <w:t xml:space="preserve"> four</w:t>
            </w:r>
            <w:r>
              <w:t xml:space="preserve"> tabs</w:t>
            </w:r>
            <w:r w:rsidR="00DE0C51">
              <w:t xml:space="preserve"> – Warm-ups, Practice Work, Notes/Work, Assessments</w:t>
            </w:r>
          </w:p>
          <w:p w:rsidR="00061A24" w:rsidRDefault="00061A24" w:rsidP="00DE0C51">
            <w:pPr>
              <w:pStyle w:val="ListParagraph"/>
              <w:numPr>
                <w:ilvl w:val="0"/>
                <w:numId w:val="10"/>
              </w:numPr>
            </w:pPr>
            <w:r>
              <w:t>Loose Leaf paper</w:t>
            </w:r>
            <w:r w:rsidR="00DE0C51">
              <w:t xml:space="preserve"> – College Ruled preferred</w:t>
            </w:r>
          </w:p>
          <w:p w:rsidR="00061A24" w:rsidRDefault="00061A24" w:rsidP="00DE0C51">
            <w:pPr>
              <w:pStyle w:val="ListParagraph"/>
              <w:numPr>
                <w:ilvl w:val="0"/>
                <w:numId w:val="10"/>
              </w:numPr>
            </w:pPr>
            <w:r>
              <w:t>Pencil with working eraser</w:t>
            </w:r>
          </w:p>
          <w:p w:rsidR="00061A24" w:rsidRDefault="00061A24" w:rsidP="009E57F4">
            <w:pPr>
              <w:pStyle w:val="ListParagraph"/>
              <w:numPr>
                <w:ilvl w:val="0"/>
                <w:numId w:val="10"/>
              </w:numPr>
            </w:pPr>
            <w:r>
              <w:t xml:space="preserve">Textbook – </w:t>
            </w:r>
            <w:proofErr w:type="spellStart"/>
            <w:r>
              <w:t>SpringBoard</w:t>
            </w:r>
            <w:proofErr w:type="spellEnd"/>
            <w:r w:rsidR="006A5315">
              <w:t xml:space="preserve"> Algebra 1</w:t>
            </w:r>
          </w:p>
          <w:p w:rsidR="006A5315" w:rsidRDefault="006A5315" w:rsidP="009E57F4">
            <w:pPr>
              <w:pStyle w:val="ListParagraph"/>
              <w:numPr>
                <w:ilvl w:val="0"/>
                <w:numId w:val="10"/>
              </w:numPr>
            </w:pPr>
            <w:r>
              <w:t>Graph Paper</w:t>
            </w:r>
          </w:p>
          <w:p w:rsidR="006A5315" w:rsidRDefault="006A5315" w:rsidP="006A5315"/>
          <w:p w:rsidR="006A5315" w:rsidRDefault="006A5315" w:rsidP="006A5315"/>
          <w:p w:rsidR="00061A24" w:rsidRPr="00DE0C51" w:rsidRDefault="00061A24">
            <w:pPr>
              <w:rPr>
                <w:u w:val="single"/>
              </w:rPr>
            </w:pPr>
            <w:r w:rsidRPr="00DE0C51">
              <w:rPr>
                <w:u w:val="single"/>
              </w:rPr>
              <w:t>Optional Materials:</w:t>
            </w:r>
          </w:p>
          <w:p w:rsidR="00061A24" w:rsidRDefault="00061A24">
            <w:r>
              <w:t>Colored Pencils</w:t>
            </w:r>
          </w:p>
          <w:p w:rsidR="00061A24" w:rsidRDefault="00061A24">
            <w:r>
              <w:t>Calculator – TI-34 solar (recommended)</w:t>
            </w:r>
          </w:p>
          <w:p w:rsidR="00DE0C51" w:rsidRDefault="00DE0C51"/>
          <w:p w:rsidR="00997FCE" w:rsidRDefault="00997FCE"/>
          <w:p w:rsidR="00752AC8" w:rsidRDefault="00EB0F26">
            <w:r>
              <w:t xml:space="preserve">Your textbook is a consumable Edition – this means it’s </w:t>
            </w:r>
            <w:r w:rsidRPr="003770FA">
              <w:rPr>
                <w:u w:val="single"/>
              </w:rPr>
              <w:t>YOURS</w:t>
            </w:r>
            <w:r>
              <w:t>.  We will be teaching strategies that involve annotation and note-taking so writing in your book is essential.  This provides an excellent opportunity to implement reading strategies into our learning of mathematics.</w:t>
            </w:r>
          </w:p>
        </w:tc>
      </w:tr>
      <w:tr w:rsidR="00061A24" w:rsidTr="00DE0C51">
        <w:trPr>
          <w:trHeight w:val="350"/>
        </w:trPr>
        <w:tc>
          <w:tcPr>
            <w:tcW w:w="9576" w:type="dxa"/>
            <w:shd w:val="clear" w:color="auto" w:fill="548DD4" w:themeFill="text2" w:themeFillTint="99"/>
          </w:tcPr>
          <w:p w:rsidR="00061A24" w:rsidRPr="00061A24" w:rsidRDefault="00061A24">
            <w:pPr>
              <w:rPr>
                <w:sz w:val="32"/>
                <w:szCs w:val="32"/>
              </w:rPr>
            </w:pPr>
            <w:r>
              <w:rPr>
                <w:sz w:val="32"/>
                <w:szCs w:val="32"/>
              </w:rPr>
              <w:lastRenderedPageBreak/>
              <w:t>Course Resources:</w:t>
            </w:r>
          </w:p>
        </w:tc>
      </w:tr>
      <w:tr w:rsidR="00061A24" w:rsidTr="00DB0DA8">
        <w:trPr>
          <w:trHeight w:val="620"/>
        </w:trPr>
        <w:tc>
          <w:tcPr>
            <w:tcW w:w="9576" w:type="dxa"/>
          </w:tcPr>
          <w:p w:rsidR="00DE0C51" w:rsidRDefault="00DE0C51" w:rsidP="00061A24"/>
          <w:p w:rsidR="00426021" w:rsidRDefault="00061A24" w:rsidP="00061A24">
            <w:r>
              <w:t>Primary Resources:</w:t>
            </w:r>
            <w:r w:rsidR="00426021">
              <w:t xml:space="preserve">  </w:t>
            </w:r>
            <w:r>
              <w:t xml:space="preserve"> </w:t>
            </w:r>
            <w:r w:rsidR="00426021">
              <w:t>Other Students</w:t>
            </w:r>
          </w:p>
          <w:p w:rsidR="00DE0C51" w:rsidRDefault="00426021" w:rsidP="00061A24">
            <w:r>
              <w:t xml:space="preserve">                                  </w:t>
            </w:r>
            <w:r w:rsidR="00DE0C51">
              <w:t>Class Lecture and Notes</w:t>
            </w:r>
          </w:p>
          <w:p w:rsidR="00426021" w:rsidRDefault="00DE0C51" w:rsidP="00061A24">
            <w:r>
              <w:t xml:space="preserve">                                  </w:t>
            </w:r>
            <w:proofErr w:type="spellStart"/>
            <w:r w:rsidR="00061A24">
              <w:t>SpringBoard</w:t>
            </w:r>
            <w:proofErr w:type="spellEnd"/>
            <w:r w:rsidR="00061A24">
              <w:t xml:space="preserve"> Mathematics </w:t>
            </w:r>
            <w:r w:rsidR="00551F11">
              <w:t>Geometry</w:t>
            </w:r>
            <w:r>
              <w:t xml:space="preserve"> textbook</w:t>
            </w:r>
          </w:p>
          <w:p w:rsidR="00426021" w:rsidRDefault="00426021" w:rsidP="00061A24"/>
          <w:p w:rsidR="00061A24" w:rsidRDefault="00061A24" w:rsidP="00061A24"/>
          <w:p w:rsidR="00061A24" w:rsidRDefault="00061A24" w:rsidP="00061A24">
            <w:pPr>
              <w:rPr>
                <w:rStyle w:val="Hyperlink"/>
              </w:rPr>
            </w:pPr>
            <w:r>
              <w:t xml:space="preserve">Online Resources:   </w:t>
            </w:r>
            <w:proofErr w:type="spellStart"/>
            <w:r w:rsidR="00DE0C51">
              <w:t>Mr</w:t>
            </w:r>
            <w:proofErr w:type="spellEnd"/>
            <w:r w:rsidR="00DE0C51">
              <w:t xml:space="preserve"> Benz’s Website            www.mrbenzmath.weebly.com</w:t>
            </w:r>
          </w:p>
          <w:p w:rsidR="00061A24" w:rsidRDefault="00061A24" w:rsidP="00061A24">
            <w:r>
              <w:t xml:space="preserve">                                 Khan Academy                  </w:t>
            </w:r>
            <w:hyperlink r:id="rId8" w:history="1">
              <w:r w:rsidRPr="001469BC">
                <w:rPr>
                  <w:rStyle w:val="Hyperlink"/>
                </w:rPr>
                <w:t>www.khanacademy.org</w:t>
              </w:r>
            </w:hyperlink>
          </w:p>
          <w:p w:rsidR="00061A24" w:rsidRDefault="00061A24" w:rsidP="00061A24">
            <w:r>
              <w:t xml:space="preserve">                                 </w:t>
            </w:r>
            <w:r w:rsidR="00426021">
              <w:t>Math Is Fun                       www.mathisfun.com</w:t>
            </w:r>
          </w:p>
          <w:p w:rsidR="00061A24" w:rsidRDefault="00061A24"/>
          <w:p w:rsidR="00DE0C51" w:rsidRDefault="00DE0C51">
            <w:pPr>
              <w:rPr>
                <w:u w:val="single"/>
              </w:rPr>
            </w:pPr>
            <w:r w:rsidRPr="00DE0C51">
              <w:rPr>
                <w:u w:val="single"/>
              </w:rPr>
              <w:t>A note about notes:</w:t>
            </w:r>
          </w:p>
          <w:p w:rsidR="009E57F4" w:rsidRPr="00DE0C51" w:rsidRDefault="009E57F4">
            <w:pPr>
              <w:rPr>
                <w:u w:val="single"/>
              </w:rPr>
            </w:pPr>
          </w:p>
          <w:p w:rsidR="009E57F4" w:rsidRDefault="00DE0C51" w:rsidP="00B425FA">
            <w:r>
              <w:t>Taking notes is one of the most importan</w:t>
            </w:r>
            <w:r w:rsidR="00426021">
              <w:t xml:space="preserve">t aspects of this course.  </w:t>
            </w:r>
            <w:r w:rsidR="00DF1B83">
              <w:t xml:space="preserve">Scientific research has shown that when people are actively engaged (saying, doing, writing) people remember roughly 70- 90% of what they are learning.  </w:t>
            </w:r>
            <w:r w:rsidR="00426021">
              <w:t xml:space="preserve">Notes helps keep students focused on </w:t>
            </w:r>
            <w:r w:rsidR="009E57F4">
              <w:t>learning,</w:t>
            </w:r>
            <w:r w:rsidR="00426021">
              <w:t xml:space="preserve"> help guide students in solving problems and </w:t>
            </w:r>
            <w:r w:rsidR="00DF1B83">
              <w:t>provide</w:t>
            </w:r>
            <w:r w:rsidR="009E57F4">
              <w:t xml:space="preserve"> students</w:t>
            </w:r>
            <w:r w:rsidR="00DF1B83">
              <w:t xml:space="preserve"> the most important resource for this class.</w:t>
            </w:r>
            <w:r w:rsidR="00426021">
              <w:t xml:space="preserve"> </w:t>
            </w:r>
          </w:p>
          <w:p w:rsidR="00B425FA" w:rsidRDefault="00B425FA" w:rsidP="00B425FA"/>
        </w:tc>
      </w:tr>
      <w:tr w:rsidR="00833F04" w:rsidTr="00083D74">
        <w:trPr>
          <w:trHeight w:val="368"/>
        </w:trPr>
        <w:tc>
          <w:tcPr>
            <w:tcW w:w="9576" w:type="dxa"/>
            <w:shd w:val="clear" w:color="auto" w:fill="548DD4" w:themeFill="text2" w:themeFillTint="99"/>
          </w:tcPr>
          <w:p w:rsidR="00833F04" w:rsidRPr="00DB25A2" w:rsidRDefault="00083D74">
            <w:pPr>
              <w:rPr>
                <w:sz w:val="32"/>
                <w:szCs w:val="32"/>
              </w:rPr>
            </w:pPr>
            <w:r>
              <w:rPr>
                <w:rFonts w:cs="Arial"/>
                <w:sz w:val="32"/>
                <w:szCs w:val="32"/>
              </w:rPr>
              <w:t>Mathematical Areas of Focus</w:t>
            </w:r>
            <w:r w:rsidR="00DB25A2" w:rsidRPr="00DB25A2">
              <w:rPr>
                <w:rFonts w:ascii="Times New Roman" w:hAnsi="Times New Roman"/>
                <w:sz w:val="32"/>
                <w:szCs w:val="32"/>
              </w:rPr>
              <w:t>:</w:t>
            </w:r>
          </w:p>
        </w:tc>
      </w:tr>
      <w:tr w:rsidR="00833F04" w:rsidTr="00CE2051">
        <w:trPr>
          <w:trHeight w:val="1880"/>
        </w:trPr>
        <w:tc>
          <w:tcPr>
            <w:tcW w:w="9576" w:type="dxa"/>
            <w:tcBorders>
              <w:bottom w:val="single" w:sz="4" w:space="0" w:color="auto"/>
            </w:tcBorders>
          </w:tcPr>
          <w:p w:rsidR="00083D74" w:rsidRDefault="00083D74" w:rsidP="004670EF">
            <w:pPr>
              <w:rPr>
                <w:u w:val="single"/>
              </w:rPr>
            </w:pPr>
          </w:p>
          <w:p w:rsidR="004670EF" w:rsidRDefault="004670EF" w:rsidP="004670EF">
            <w:pPr>
              <w:rPr>
                <w:u w:val="single"/>
              </w:rPr>
            </w:pPr>
            <w:r w:rsidRPr="00EB0F26">
              <w:rPr>
                <w:u w:val="single"/>
              </w:rPr>
              <w:t>Course Description:</w:t>
            </w:r>
          </w:p>
          <w:p w:rsidR="00083D74" w:rsidRPr="00EB0F26" w:rsidRDefault="00083D74" w:rsidP="004670EF">
            <w:pPr>
              <w:rPr>
                <w:u w:val="single"/>
              </w:rPr>
            </w:pPr>
          </w:p>
          <w:p w:rsidR="004670EF" w:rsidRDefault="004670EF" w:rsidP="004670EF">
            <w:r>
              <w:t xml:space="preserve">In </w:t>
            </w:r>
            <w:r w:rsidR="00551F11">
              <w:t>Geometry</w:t>
            </w:r>
            <w:r>
              <w:t xml:space="preserve">, instructional time focuses on three critical areas: </w:t>
            </w:r>
          </w:p>
          <w:p w:rsidR="004670EF" w:rsidRDefault="004670EF" w:rsidP="004670EF"/>
          <w:p w:rsidR="009E57F4" w:rsidRDefault="00551F11" w:rsidP="00997FCE">
            <w:pPr>
              <w:pStyle w:val="ListParagraph"/>
              <w:numPr>
                <w:ilvl w:val="0"/>
                <w:numId w:val="4"/>
              </w:numPr>
            </w:pPr>
            <w:r>
              <w:t>Proof, Parallel and Perpendicular Lines</w:t>
            </w:r>
          </w:p>
          <w:p w:rsidR="00551F11" w:rsidRDefault="00551F11" w:rsidP="00997FCE">
            <w:pPr>
              <w:pStyle w:val="ListParagraph"/>
              <w:numPr>
                <w:ilvl w:val="0"/>
                <w:numId w:val="4"/>
              </w:numPr>
            </w:pPr>
            <w:r>
              <w:t>Transformations, Triangles and Quadrilaterals</w:t>
            </w:r>
          </w:p>
          <w:p w:rsidR="00551F11" w:rsidRDefault="00551F11" w:rsidP="00551F11">
            <w:pPr>
              <w:pStyle w:val="ListParagraph"/>
              <w:numPr>
                <w:ilvl w:val="0"/>
                <w:numId w:val="4"/>
              </w:numPr>
            </w:pPr>
            <w:r>
              <w:t>Similarity and Trigonometry</w:t>
            </w:r>
          </w:p>
          <w:p w:rsidR="00551F11" w:rsidRDefault="00551F11" w:rsidP="00551F11">
            <w:pPr>
              <w:pStyle w:val="ListParagraph"/>
              <w:numPr>
                <w:ilvl w:val="0"/>
                <w:numId w:val="4"/>
              </w:numPr>
            </w:pPr>
            <w:r>
              <w:t>Circles, Coordinates and Constructions</w:t>
            </w:r>
          </w:p>
          <w:p w:rsidR="00551F11" w:rsidRDefault="00551F11" w:rsidP="00551F11">
            <w:pPr>
              <w:pStyle w:val="ListParagraph"/>
              <w:numPr>
                <w:ilvl w:val="0"/>
                <w:numId w:val="4"/>
              </w:numPr>
            </w:pPr>
            <w:r>
              <w:t>Extending two dimensions into three dimensions</w:t>
            </w:r>
          </w:p>
        </w:tc>
      </w:tr>
      <w:tr w:rsidR="00CE2051" w:rsidTr="00CE2051">
        <w:trPr>
          <w:trHeight w:val="350"/>
        </w:trPr>
        <w:tc>
          <w:tcPr>
            <w:tcW w:w="9576" w:type="dxa"/>
            <w:shd w:val="clear" w:color="auto" w:fill="548DD4" w:themeFill="text2" w:themeFillTint="99"/>
          </w:tcPr>
          <w:p w:rsidR="00CE2051" w:rsidRPr="00CE2051" w:rsidRDefault="00CE2051" w:rsidP="004670EF">
            <w:pPr>
              <w:rPr>
                <w:sz w:val="32"/>
                <w:szCs w:val="32"/>
              </w:rPr>
            </w:pPr>
            <w:r>
              <w:rPr>
                <w:sz w:val="32"/>
                <w:szCs w:val="32"/>
              </w:rPr>
              <w:t>Class Expectations</w:t>
            </w:r>
          </w:p>
        </w:tc>
      </w:tr>
      <w:tr w:rsidR="00CE2051" w:rsidTr="00DB25A2">
        <w:trPr>
          <w:trHeight w:val="1880"/>
        </w:trPr>
        <w:tc>
          <w:tcPr>
            <w:tcW w:w="9576" w:type="dxa"/>
          </w:tcPr>
          <w:p w:rsidR="006662EC" w:rsidRDefault="006662EC" w:rsidP="004670EF"/>
          <w:p w:rsidR="006662EC" w:rsidRDefault="006662EC" w:rsidP="004670EF">
            <w:r w:rsidRPr="00B425FA">
              <w:rPr>
                <w:b/>
                <w:sz w:val="24"/>
              </w:rPr>
              <w:t>Students are expected to on task at all times</w:t>
            </w:r>
            <w:r>
              <w:t xml:space="preserve">.  Learning </w:t>
            </w:r>
            <w:r w:rsidR="00B425FA">
              <w:t>is active</w:t>
            </w:r>
            <w:r>
              <w:t xml:space="preserve">.  Student who </w:t>
            </w:r>
            <w:r w:rsidR="00B425FA">
              <w:t>learn the most</w:t>
            </w:r>
            <w:r>
              <w:t xml:space="preserve"> are always actively involved in lecture by asking questio</w:t>
            </w:r>
            <w:r w:rsidR="00B425FA">
              <w:t>ns and taking notes, trying every</w:t>
            </w:r>
            <w:r>
              <w:t xml:space="preserve"> pr</w:t>
            </w:r>
            <w:r w:rsidR="00B425FA">
              <w:t xml:space="preserve">oblem, looking at wrong answers </w:t>
            </w:r>
            <w:r>
              <w:t xml:space="preserve">for mistakes and </w:t>
            </w:r>
            <w:r w:rsidR="00B425FA">
              <w:t xml:space="preserve">keep trying, trying, trying and trying. </w:t>
            </w:r>
          </w:p>
          <w:p w:rsidR="006662EC" w:rsidRDefault="006662EC" w:rsidP="004670EF"/>
          <w:p w:rsidR="00CE2051" w:rsidRDefault="006662EC" w:rsidP="004670EF">
            <w:r>
              <w:t>With little exception the course will have the same routine every day:</w:t>
            </w:r>
          </w:p>
          <w:p w:rsidR="006662EC" w:rsidRDefault="006662EC" w:rsidP="004670EF"/>
          <w:p w:rsidR="006662EC" w:rsidRDefault="006662EC" w:rsidP="006662EC">
            <w:pPr>
              <w:pStyle w:val="ListParagraph"/>
              <w:numPr>
                <w:ilvl w:val="0"/>
                <w:numId w:val="10"/>
              </w:numPr>
            </w:pPr>
            <w:r>
              <w:t>Students will walk in the classroom and begin working on their warm up</w:t>
            </w:r>
          </w:p>
          <w:p w:rsidR="006662EC" w:rsidRDefault="006662EC" w:rsidP="006662EC">
            <w:pPr>
              <w:pStyle w:val="ListParagraph"/>
              <w:numPr>
                <w:ilvl w:val="0"/>
                <w:numId w:val="10"/>
              </w:numPr>
            </w:pPr>
            <w:r>
              <w:t>Student will take out the previous days practice work</w:t>
            </w:r>
          </w:p>
          <w:p w:rsidR="006662EC" w:rsidRDefault="006662EC" w:rsidP="006662EC">
            <w:pPr>
              <w:pStyle w:val="ListParagraph"/>
              <w:numPr>
                <w:ilvl w:val="0"/>
                <w:numId w:val="10"/>
              </w:numPr>
            </w:pPr>
            <w:r>
              <w:t>Student will receive feedback on the warm-up problems and the practice work</w:t>
            </w:r>
          </w:p>
          <w:p w:rsidR="006662EC" w:rsidRDefault="006662EC" w:rsidP="006662EC">
            <w:pPr>
              <w:pStyle w:val="ListParagraph"/>
              <w:numPr>
                <w:ilvl w:val="0"/>
                <w:numId w:val="10"/>
              </w:numPr>
            </w:pPr>
            <w:r>
              <w:t>Student will take notes/have in-class work</w:t>
            </w:r>
          </w:p>
          <w:p w:rsidR="006662EC" w:rsidRDefault="006662EC" w:rsidP="006662EC">
            <w:pPr>
              <w:pStyle w:val="ListParagraph"/>
              <w:numPr>
                <w:ilvl w:val="0"/>
                <w:numId w:val="10"/>
              </w:numPr>
            </w:pPr>
            <w:r>
              <w:t>Student will receive practice work</w:t>
            </w:r>
          </w:p>
          <w:p w:rsidR="006662EC" w:rsidRDefault="006662EC" w:rsidP="006662EC">
            <w:pPr>
              <w:pStyle w:val="ListParagraph"/>
            </w:pPr>
          </w:p>
          <w:p w:rsidR="006662EC" w:rsidRDefault="006662EC" w:rsidP="006662EC">
            <w:pPr>
              <w:pStyle w:val="ListParagraph"/>
              <w:ind w:left="0"/>
              <w:jc w:val="both"/>
            </w:pPr>
            <w:r>
              <w:t xml:space="preserve">As students are working on these tasks they have the opportunity to work with their seat partners.  Also, the teacher is circulating to help student work through problems, keep them focused and answer questions.  </w:t>
            </w:r>
            <w:r w:rsidR="000F4590">
              <w:t xml:space="preserve"> </w:t>
            </w:r>
          </w:p>
          <w:p w:rsidR="000F4590" w:rsidRPr="006662EC" w:rsidRDefault="000F4590" w:rsidP="006662EC">
            <w:pPr>
              <w:pStyle w:val="ListParagraph"/>
              <w:ind w:left="0"/>
              <w:jc w:val="both"/>
            </w:pPr>
          </w:p>
        </w:tc>
      </w:tr>
      <w:tr w:rsidR="00833F04" w:rsidTr="00F509F9">
        <w:trPr>
          <w:trHeight w:val="332"/>
        </w:trPr>
        <w:tc>
          <w:tcPr>
            <w:tcW w:w="9576" w:type="dxa"/>
            <w:shd w:val="clear" w:color="auto" w:fill="548DD4" w:themeFill="text2" w:themeFillTint="99"/>
          </w:tcPr>
          <w:p w:rsidR="00833F04" w:rsidRPr="00DB0DA8" w:rsidRDefault="00DB0DA8" w:rsidP="00B425FA">
            <w:pPr>
              <w:rPr>
                <w:sz w:val="32"/>
                <w:szCs w:val="32"/>
              </w:rPr>
            </w:pPr>
            <w:r w:rsidRPr="00DB0DA8">
              <w:rPr>
                <w:sz w:val="32"/>
                <w:szCs w:val="32"/>
              </w:rPr>
              <w:lastRenderedPageBreak/>
              <w:t>D</w:t>
            </w:r>
            <w:r w:rsidR="00B425FA">
              <w:rPr>
                <w:sz w:val="32"/>
                <w:szCs w:val="32"/>
              </w:rPr>
              <w:t>iscipline Policy</w:t>
            </w:r>
          </w:p>
        </w:tc>
      </w:tr>
      <w:tr w:rsidR="00833F04" w:rsidTr="00DB0DA8">
        <w:trPr>
          <w:trHeight w:val="1970"/>
        </w:trPr>
        <w:tc>
          <w:tcPr>
            <w:tcW w:w="9576" w:type="dxa"/>
          </w:tcPr>
          <w:p w:rsidR="000E58DF" w:rsidRDefault="000E58DF"/>
          <w:p w:rsidR="00396CFE" w:rsidRPr="00CE2051" w:rsidRDefault="00396CFE" w:rsidP="00396CFE">
            <w:pPr>
              <w:jc w:val="center"/>
              <w:rPr>
                <w:rFonts w:cs="Arial"/>
                <w:b/>
                <w:sz w:val="24"/>
              </w:rPr>
            </w:pPr>
            <w:r w:rsidRPr="00CE2051">
              <w:rPr>
                <w:rFonts w:cs="Arial"/>
                <w:b/>
                <w:sz w:val="24"/>
              </w:rPr>
              <w:t>Be in the right place, at the right time, doing the right thing!</w:t>
            </w:r>
          </w:p>
          <w:p w:rsidR="00396CFE" w:rsidRPr="00CE2051" w:rsidRDefault="00396CFE" w:rsidP="00396CFE">
            <w:pPr>
              <w:rPr>
                <w:rFonts w:cs="Arial"/>
                <w:szCs w:val="20"/>
              </w:rPr>
            </w:pPr>
          </w:p>
          <w:p w:rsidR="00396CFE" w:rsidRPr="00CE2051" w:rsidRDefault="00396CFE" w:rsidP="00396CFE">
            <w:pPr>
              <w:rPr>
                <w:rFonts w:cs="Arial"/>
                <w:szCs w:val="20"/>
              </w:rPr>
            </w:pPr>
            <w:r w:rsidRPr="00CE2051">
              <w:rPr>
                <w:rFonts w:cs="Arial"/>
                <w:szCs w:val="20"/>
              </w:rPr>
              <w:t xml:space="preserve">The </w:t>
            </w:r>
            <w:r w:rsidR="00CE2051">
              <w:rPr>
                <w:rFonts w:cs="Arial"/>
                <w:szCs w:val="20"/>
              </w:rPr>
              <w:t xml:space="preserve">8t grade </w:t>
            </w:r>
            <w:r w:rsidRPr="00CE2051">
              <w:rPr>
                <w:rFonts w:cs="Arial"/>
                <w:szCs w:val="20"/>
              </w:rPr>
              <w:t xml:space="preserve">teaching team is confident that students can achieve this goal on a daily basis!  </w:t>
            </w:r>
          </w:p>
          <w:p w:rsidR="00396CFE" w:rsidRPr="00CE2051" w:rsidRDefault="00396CFE" w:rsidP="00396CFE">
            <w:pPr>
              <w:rPr>
                <w:rFonts w:cs="Arial"/>
                <w:szCs w:val="20"/>
              </w:rPr>
            </w:pPr>
          </w:p>
          <w:p w:rsidR="00396CFE" w:rsidRPr="00CE2051" w:rsidRDefault="00396CFE" w:rsidP="00396CFE">
            <w:pPr>
              <w:rPr>
                <w:rFonts w:cs="Arial"/>
                <w:szCs w:val="20"/>
              </w:rPr>
            </w:pPr>
            <w:r w:rsidRPr="00CE2051">
              <w:rPr>
                <w:rFonts w:cs="Arial"/>
                <w:szCs w:val="20"/>
              </w:rPr>
              <w:t>However, sometimes a child’s behavior needs to be redirected. In that event, we intend to take the following actions to return the child’s focus towards learning:</w:t>
            </w:r>
          </w:p>
          <w:p w:rsidR="00396CFE" w:rsidRPr="00CE2051" w:rsidRDefault="00396CFE" w:rsidP="00396CFE">
            <w:pPr>
              <w:ind w:left="720"/>
              <w:rPr>
                <w:rFonts w:cs="Arial"/>
                <w:szCs w:val="20"/>
              </w:rPr>
            </w:pPr>
          </w:p>
          <w:p w:rsidR="00396CFE" w:rsidRPr="00CE2051" w:rsidRDefault="00396CFE" w:rsidP="00396CFE">
            <w:pPr>
              <w:numPr>
                <w:ilvl w:val="0"/>
                <w:numId w:val="5"/>
              </w:numPr>
              <w:rPr>
                <w:rFonts w:cs="Arial"/>
                <w:szCs w:val="20"/>
              </w:rPr>
            </w:pPr>
            <w:r w:rsidRPr="00CE2051">
              <w:rPr>
                <w:rFonts w:cs="Arial"/>
                <w:szCs w:val="20"/>
              </w:rPr>
              <w:t>Teacher will give student a non-verbal cue to redirect his/her behavior.</w:t>
            </w:r>
          </w:p>
          <w:p w:rsidR="00396CFE" w:rsidRPr="00CE2051" w:rsidRDefault="00396CFE" w:rsidP="00396CFE">
            <w:pPr>
              <w:ind w:left="720"/>
              <w:rPr>
                <w:rFonts w:cs="Arial"/>
                <w:szCs w:val="20"/>
              </w:rPr>
            </w:pPr>
          </w:p>
          <w:p w:rsidR="00396CFE" w:rsidRPr="00CE2051" w:rsidRDefault="00396CFE" w:rsidP="00396CFE">
            <w:pPr>
              <w:numPr>
                <w:ilvl w:val="0"/>
                <w:numId w:val="5"/>
              </w:numPr>
              <w:rPr>
                <w:rFonts w:cs="Arial"/>
                <w:szCs w:val="20"/>
              </w:rPr>
            </w:pPr>
            <w:r w:rsidRPr="00CE2051">
              <w:rPr>
                <w:rFonts w:cs="Arial"/>
                <w:szCs w:val="20"/>
              </w:rPr>
              <w:t>A verbal warning from the teacher will be given to the student.</w:t>
            </w:r>
          </w:p>
          <w:p w:rsidR="00396CFE" w:rsidRPr="00CE2051" w:rsidRDefault="00396CFE" w:rsidP="00396CFE">
            <w:pPr>
              <w:ind w:left="720"/>
              <w:rPr>
                <w:rFonts w:cs="Arial"/>
                <w:szCs w:val="20"/>
              </w:rPr>
            </w:pPr>
          </w:p>
          <w:p w:rsidR="00396CFE" w:rsidRPr="00CE2051" w:rsidRDefault="00396CFE" w:rsidP="00396CFE">
            <w:pPr>
              <w:numPr>
                <w:ilvl w:val="0"/>
                <w:numId w:val="5"/>
              </w:numPr>
              <w:rPr>
                <w:rFonts w:cs="Arial"/>
                <w:szCs w:val="20"/>
              </w:rPr>
            </w:pPr>
            <w:r w:rsidRPr="00CE2051">
              <w:rPr>
                <w:rFonts w:cs="Arial"/>
                <w:szCs w:val="20"/>
              </w:rPr>
              <w:t>If the distracting behavior continues, the child will be removed from his/her classmates but within the classroom where he/she will still be able to hear, see, and participate in the lesson.</w:t>
            </w:r>
          </w:p>
          <w:p w:rsidR="00396CFE" w:rsidRPr="00CE2051" w:rsidRDefault="00396CFE" w:rsidP="00396CFE">
            <w:pPr>
              <w:rPr>
                <w:rFonts w:cs="Arial"/>
                <w:szCs w:val="20"/>
              </w:rPr>
            </w:pPr>
          </w:p>
          <w:p w:rsidR="00396CFE" w:rsidRPr="00CE2051" w:rsidRDefault="00396CFE" w:rsidP="00396CFE">
            <w:pPr>
              <w:numPr>
                <w:ilvl w:val="0"/>
                <w:numId w:val="5"/>
              </w:numPr>
              <w:rPr>
                <w:rFonts w:cs="Arial"/>
                <w:szCs w:val="20"/>
              </w:rPr>
            </w:pPr>
            <w:r w:rsidRPr="00CE2051">
              <w:rPr>
                <w:rFonts w:cs="Arial"/>
                <w:szCs w:val="20"/>
              </w:rPr>
              <w:t>If disruptive behavior continues, the child will call his/her parents immediately on the classroom phone to assist the child with redirection.</w:t>
            </w:r>
          </w:p>
          <w:p w:rsidR="00396CFE" w:rsidRPr="00CE2051" w:rsidRDefault="00396CFE" w:rsidP="00396CFE">
            <w:pPr>
              <w:rPr>
                <w:rFonts w:cs="Arial"/>
                <w:szCs w:val="20"/>
              </w:rPr>
            </w:pPr>
          </w:p>
          <w:p w:rsidR="00396CFE" w:rsidRPr="00CE2051" w:rsidRDefault="00396CFE" w:rsidP="00396CFE">
            <w:pPr>
              <w:numPr>
                <w:ilvl w:val="0"/>
                <w:numId w:val="5"/>
              </w:numPr>
              <w:rPr>
                <w:rFonts w:cs="Arial"/>
                <w:szCs w:val="20"/>
              </w:rPr>
            </w:pPr>
            <w:r w:rsidRPr="00CE2051">
              <w:rPr>
                <w:rFonts w:cs="Arial"/>
                <w:szCs w:val="20"/>
              </w:rPr>
              <w:t xml:space="preserve">Should the student still not be able to redirect himself/herself, the child will be sent to one of the other middle school classrooms for the duration of the class, and the teacher will initiate a parent/teacher phone conference after the normal school day. </w:t>
            </w:r>
          </w:p>
          <w:p w:rsidR="00396CFE" w:rsidRPr="00CE2051" w:rsidRDefault="00396CFE" w:rsidP="00396CFE">
            <w:pPr>
              <w:rPr>
                <w:rFonts w:cs="Arial"/>
                <w:szCs w:val="20"/>
              </w:rPr>
            </w:pPr>
          </w:p>
          <w:p w:rsidR="00396CFE" w:rsidRPr="00CE2051" w:rsidRDefault="00396CFE" w:rsidP="00396CFE">
            <w:pPr>
              <w:numPr>
                <w:ilvl w:val="0"/>
                <w:numId w:val="5"/>
              </w:numPr>
              <w:rPr>
                <w:rFonts w:cs="Arial"/>
                <w:szCs w:val="20"/>
              </w:rPr>
            </w:pPr>
            <w:r w:rsidRPr="00CE2051">
              <w:rPr>
                <w:rFonts w:cs="Arial"/>
                <w:szCs w:val="20"/>
              </w:rPr>
              <w:t>For severe behavior issues, the child will be immediately sent to the office.</w:t>
            </w:r>
          </w:p>
          <w:p w:rsidR="00396CFE" w:rsidRPr="00CE2051" w:rsidRDefault="00396CFE" w:rsidP="00396CFE">
            <w:pPr>
              <w:rPr>
                <w:rFonts w:cs="Arial"/>
                <w:szCs w:val="20"/>
              </w:rPr>
            </w:pPr>
          </w:p>
          <w:p w:rsidR="00B425FA" w:rsidRDefault="00B425FA" w:rsidP="00396CFE">
            <w:pPr>
              <w:rPr>
                <w:rFonts w:cs="Arial"/>
                <w:szCs w:val="20"/>
              </w:rPr>
            </w:pPr>
          </w:p>
          <w:p w:rsidR="00F509F9" w:rsidRDefault="00396CFE" w:rsidP="00396CFE">
            <w:pPr>
              <w:rPr>
                <w:rFonts w:cs="Arial"/>
                <w:szCs w:val="20"/>
              </w:rPr>
            </w:pPr>
            <w:r w:rsidRPr="00CE2051">
              <w:rPr>
                <w:rFonts w:cs="Arial"/>
                <w:szCs w:val="20"/>
              </w:rPr>
              <w:t xml:space="preserve">We believe this behavior action plan will promote a safe, positive, and engaging environment where all students are able to succeed! </w:t>
            </w:r>
          </w:p>
          <w:p w:rsidR="00B425FA" w:rsidRDefault="00B425FA" w:rsidP="00396CFE">
            <w:pPr>
              <w:rPr>
                <w:rFonts w:cs="Arial"/>
                <w:szCs w:val="20"/>
              </w:rPr>
            </w:pPr>
          </w:p>
          <w:p w:rsidR="00B425FA" w:rsidRDefault="00B425FA" w:rsidP="00396CFE">
            <w:pPr>
              <w:rPr>
                <w:rFonts w:cs="Arial"/>
                <w:szCs w:val="20"/>
              </w:rPr>
            </w:pPr>
          </w:p>
          <w:p w:rsidR="00B425FA" w:rsidRDefault="00B425FA" w:rsidP="00396CFE">
            <w:pPr>
              <w:rPr>
                <w:rFonts w:cs="Arial"/>
                <w:szCs w:val="20"/>
              </w:rPr>
            </w:pPr>
          </w:p>
          <w:p w:rsidR="00396CFE" w:rsidRPr="00396CFE" w:rsidRDefault="00396CFE" w:rsidP="00396CFE">
            <w:pPr>
              <w:rPr>
                <w:rFonts w:cs="Arial"/>
                <w:sz w:val="24"/>
              </w:rPr>
            </w:pPr>
          </w:p>
        </w:tc>
      </w:tr>
      <w:tr w:rsidR="00833F04" w:rsidTr="00F509F9">
        <w:tc>
          <w:tcPr>
            <w:tcW w:w="9576" w:type="dxa"/>
            <w:shd w:val="clear" w:color="auto" w:fill="548DD4" w:themeFill="text2" w:themeFillTint="99"/>
          </w:tcPr>
          <w:p w:rsidR="00833F04" w:rsidRDefault="00672F5D">
            <w:r>
              <w:rPr>
                <w:sz w:val="32"/>
                <w:szCs w:val="32"/>
                <w:shd w:val="clear" w:color="auto" w:fill="548DD4" w:themeFill="text2" w:themeFillTint="99"/>
              </w:rPr>
              <w:t>SUBJECT</w:t>
            </w:r>
            <w:r w:rsidR="00DB0DA8" w:rsidRPr="00F509F9">
              <w:rPr>
                <w:sz w:val="32"/>
                <w:szCs w:val="32"/>
                <w:shd w:val="clear" w:color="auto" w:fill="548DD4" w:themeFill="text2" w:themeFillTint="99"/>
              </w:rPr>
              <w:t xml:space="preserve"> EVALUATION</w:t>
            </w:r>
            <w:r w:rsidR="00DB0DA8">
              <w:t>:</w:t>
            </w:r>
          </w:p>
        </w:tc>
      </w:tr>
      <w:tr w:rsidR="00833F04" w:rsidTr="00833F04">
        <w:tc>
          <w:tcPr>
            <w:tcW w:w="9576" w:type="dxa"/>
          </w:tcPr>
          <w:p w:rsidR="00672F5D" w:rsidRDefault="00997FCE" w:rsidP="00672F5D">
            <w:pPr>
              <w:rPr>
                <w:rFonts w:cs="Arial"/>
                <w:szCs w:val="20"/>
              </w:rPr>
            </w:pPr>
            <w:r>
              <w:rPr>
                <w:rFonts w:cs="Arial"/>
                <w:szCs w:val="20"/>
              </w:rPr>
              <w:t>90</w:t>
            </w:r>
            <w:r w:rsidR="00672F5D" w:rsidRPr="00CE2051">
              <w:rPr>
                <w:rFonts w:cs="Arial"/>
                <w:szCs w:val="20"/>
              </w:rPr>
              <w:t xml:space="preserve">% of a student’s grade is based on summative assessments. </w:t>
            </w:r>
          </w:p>
          <w:p w:rsidR="00997FCE" w:rsidRPr="00CE2051" w:rsidRDefault="00997FCE" w:rsidP="00672F5D">
            <w:pPr>
              <w:rPr>
                <w:rFonts w:cs="Arial"/>
                <w:szCs w:val="20"/>
              </w:rPr>
            </w:pPr>
            <w:r>
              <w:rPr>
                <w:rFonts w:cs="Arial"/>
                <w:szCs w:val="20"/>
              </w:rPr>
              <w:t>10% of a student’s grade is based on completion of formative work.</w:t>
            </w:r>
          </w:p>
          <w:p w:rsidR="00672F5D" w:rsidRPr="00CE2051" w:rsidRDefault="00672F5D" w:rsidP="00672F5D">
            <w:pPr>
              <w:rPr>
                <w:rFonts w:cs="Arial"/>
                <w:szCs w:val="20"/>
              </w:rPr>
            </w:pPr>
          </w:p>
          <w:p w:rsidR="00672F5D" w:rsidRPr="00CE2051" w:rsidRDefault="00672F5D" w:rsidP="00672F5D">
            <w:pPr>
              <w:rPr>
                <w:rFonts w:cs="Arial"/>
                <w:szCs w:val="20"/>
              </w:rPr>
            </w:pPr>
            <w:r w:rsidRPr="00CE2051">
              <w:rPr>
                <w:rFonts w:cs="Arial"/>
                <w:szCs w:val="20"/>
              </w:rPr>
              <w:t>There are two types of assessments you will be given this school year; summative and formative.  Each type of assessment has a purpose and will offer great insight into your level of mastery of a given standard.</w:t>
            </w:r>
          </w:p>
          <w:p w:rsidR="00672F5D" w:rsidRPr="00CE2051" w:rsidRDefault="00672F5D" w:rsidP="00672F5D">
            <w:pPr>
              <w:rPr>
                <w:rFonts w:cs="Arial"/>
                <w:szCs w:val="20"/>
              </w:rPr>
            </w:pPr>
          </w:p>
          <w:p w:rsidR="00672F5D" w:rsidRPr="00CE2051" w:rsidRDefault="00672F5D" w:rsidP="00672F5D">
            <w:pPr>
              <w:pStyle w:val="ListParagraph"/>
              <w:numPr>
                <w:ilvl w:val="0"/>
                <w:numId w:val="1"/>
              </w:numPr>
              <w:spacing w:line="240" w:lineRule="auto"/>
              <w:rPr>
                <w:rFonts w:ascii="Arial" w:hAnsi="Arial" w:cs="Arial"/>
                <w:sz w:val="20"/>
                <w:szCs w:val="20"/>
              </w:rPr>
            </w:pPr>
            <w:r w:rsidRPr="00CE2051">
              <w:rPr>
                <w:rFonts w:ascii="Arial" w:hAnsi="Arial" w:cs="Arial"/>
                <w:sz w:val="20"/>
                <w:szCs w:val="20"/>
              </w:rPr>
              <w:t xml:space="preserve">Formative Assessments:  These types of tests are used to provide information on your understanding of a concept at any given point.  While these assessments are scored, they are not counted towards your final grade.  </w:t>
            </w:r>
            <w:r w:rsidRPr="00CE2051">
              <w:rPr>
                <w:rFonts w:ascii="Arial" w:hAnsi="Arial" w:cs="Arial"/>
                <w:i/>
                <w:sz w:val="20"/>
                <w:szCs w:val="20"/>
              </w:rPr>
              <w:t>It is your responsibility to make use of the feedback provided to you on these assessments</w:t>
            </w:r>
            <w:r w:rsidRPr="00CE2051">
              <w:rPr>
                <w:rFonts w:ascii="Arial" w:hAnsi="Arial" w:cs="Arial"/>
                <w:sz w:val="20"/>
                <w:szCs w:val="20"/>
              </w:rPr>
              <w:t xml:space="preserve">.  You will be provided multiple opportunities to take formative assessments on a given standard.  </w:t>
            </w:r>
          </w:p>
          <w:p w:rsidR="00672F5D" w:rsidRPr="00CE2051" w:rsidRDefault="00672F5D" w:rsidP="00672F5D">
            <w:pPr>
              <w:pStyle w:val="ListParagraph"/>
              <w:spacing w:line="240" w:lineRule="auto"/>
              <w:ind w:left="1515"/>
              <w:rPr>
                <w:rFonts w:ascii="Arial" w:hAnsi="Arial" w:cs="Arial"/>
                <w:sz w:val="20"/>
                <w:szCs w:val="20"/>
              </w:rPr>
            </w:pPr>
          </w:p>
          <w:p w:rsidR="00672F5D" w:rsidRPr="00CE2051" w:rsidRDefault="00672F5D" w:rsidP="00672F5D">
            <w:pPr>
              <w:pStyle w:val="ListParagraph"/>
              <w:numPr>
                <w:ilvl w:val="0"/>
                <w:numId w:val="1"/>
              </w:numPr>
              <w:spacing w:line="240" w:lineRule="auto"/>
              <w:rPr>
                <w:rFonts w:ascii="Arial" w:hAnsi="Arial" w:cs="Arial"/>
                <w:sz w:val="20"/>
                <w:szCs w:val="20"/>
              </w:rPr>
            </w:pPr>
            <w:r w:rsidRPr="00CE2051">
              <w:rPr>
                <w:rFonts w:ascii="Arial" w:hAnsi="Arial" w:cs="Arial"/>
                <w:sz w:val="20"/>
                <w:szCs w:val="20"/>
              </w:rPr>
              <w:t>Summative Assessments:  These are the only types of assessments that will be used to determine your final grade.  It is important that you demonstrate mastery of a standard on these assessments.  You will not be offered multiple opportunities to take these types of assessments.  You will be informed of when these assessments will occur.</w:t>
            </w:r>
          </w:p>
          <w:p w:rsidR="00672F5D" w:rsidRPr="00CE2051" w:rsidRDefault="00672F5D" w:rsidP="00672F5D">
            <w:pPr>
              <w:pStyle w:val="ListParagraph"/>
              <w:spacing w:line="240" w:lineRule="auto"/>
              <w:rPr>
                <w:rFonts w:ascii="Arial" w:hAnsi="Arial" w:cs="Arial"/>
                <w:sz w:val="20"/>
                <w:szCs w:val="20"/>
              </w:rPr>
            </w:pPr>
          </w:p>
          <w:p w:rsidR="00CE2051" w:rsidRPr="00CE2051" w:rsidRDefault="00672F5D" w:rsidP="006A5315">
            <w:pPr>
              <w:rPr>
                <w:rFonts w:cs="Arial"/>
                <w:szCs w:val="20"/>
              </w:rPr>
            </w:pPr>
            <w:r w:rsidRPr="00CE2051">
              <w:rPr>
                <w:rFonts w:cs="Arial"/>
                <w:szCs w:val="20"/>
              </w:rPr>
              <w:lastRenderedPageBreak/>
              <w:t>Regardless of the type of assessment, each will be based on the Common Core State Standards (CCSS) in which you must demonstrate mastery.</w:t>
            </w:r>
          </w:p>
        </w:tc>
      </w:tr>
      <w:tr w:rsidR="00F509F9" w:rsidTr="00F509F9">
        <w:tc>
          <w:tcPr>
            <w:tcW w:w="9576" w:type="dxa"/>
            <w:shd w:val="clear" w:color="auto" w:fill="548DD4" w:themeFill="text2" w:themeFillTint="99"/>
          </w:tcPr>
          <w:p w:rsidR="00F509F9" w:rsidRDefault="00F509F9">
            <w:r w:rsidRPr="00F509F9">
              <w:rPr>
                <w:sz w:val="32"/>
                <w:szCs w:val="32"/>
              </w:rPr>
              <w:lastRenderedPageBreak/>
              <w:t>PRACTICE OPPORTUNITIES</w:t>
            </w:r>
            <w:r>
              <w:t>:</w:t>
            </w:r>
          </w:p>
        </w:tc>
      </w:tr>
      <w:tr w:rsidR="00F509F9" w:rsidTr="00833F04">
        <w:tc>
          <w:tcPr>
            <w:tcW w:w="9576" w:type="dxa"/>
          </w:tcPr>
          <w:p w:rsidR="00396CFE" w:rsidRPr="00CE2051" w:rsidRDefault="00396CFE" w:rsidP="00396CFE">
            <w:pPr>
              <w:pStyle w:val="ListParagraph"/>
              <w:spacing w:line="240" w:lineRule="auto"/>
              <w:ind w:left="0"/>
              <w:rPr>
                <w:rFonts w:ascii="Arial" w:hAnsi="Arial" w:cs="Arial"/>
                <w:sz w:val="20"/>
                <w:szCs w:val="20"/>
              </w:rPr>
            </w:pPr>
            <w:r w:rsidRPr="00CE2051">
              <w:rPr>
                <w:rFonts w:ascii="Arial" w:hAnsi="Arial" w:cs="Arial"/>
                <w:sz w:val="20"/>
                <w:szCs w:val="20"/>
              </w:rPr>
              <w:t>Practice Opportunities will be assigned on a daily basis and you are expected to complete these assignments.  These questions will directly relate to the CCSS and, in turn, the assessments given in class.  Feedback will be provided on properly submitted assignments.  Practice opportunities are meant solely to provide practice for upcoming assessments, therefore they will not account for any part of your final grade.  These opportunities will be marked in the grade book to help you keep track of your completion of these assignments.  There will be no opportunities to make up these assignments.</w:t>
            </w:r>
          </w:p>
          <w:p w:rsidR="00396CFE" w:rsidRPr="00CE2051" w:rsidRDefault="00396CFE" w:rsidP="00396CFE">
            <w:pPr>
              <w:pStyle w:val="ListParagraph"/>
              <w:spacing w:line="240" w:lineRule="auto"/>
              <w:ind w:left="0"/>
              <w:rPr>
                <w:rFonts w:ascii="Arial" w:hAnsi="Arial" w:cs="Arial"/>
                <w:sz w:val="20"/>
                <w:szCs w:val="20"/>
              </w:rPr>
            </w:pPr>
          </w:p>
          <w:p w:rsidR="00396CFE" w:rsidRPr="00CE2051" w:rsidRDefault="00396CFE" w:rsidP="00396CFE">
            <w:pPr>
              <w:pStyle w:val="ListParagraph"/>
              <w:numPr>
                <w:ilvl w:val="0"/>
                <w:numId w:val="7"/>
              </w:numPr>
              <w:spacing w:after="0" w:line="240" w:lineRule="auto"/>
              <w:rPr>
                <w:rFonts w:ascii="Arial" w:hAnsi="Arial" w:cs="Arial"/>
                <w:sz w:val="20"/>
                <w:szCs w:val="20"/>
              </w:rPr>
            </w:pPr>
            <w:r w:rsidRPr="00CE2051">
              <w:rPr>
                <w:rFonts w:ascii="Arial" w:hAnsi="Arial" w:cs="Arial"/>
                <w:sz w:val="20"/>
                <w:szCs w:val="20"/>
              </w:rPr>
              <w:t>Your assignments will not be marked in the grade book if:</w:t>
            </w:r>
          </w:p>
          <w:p w:rsidR="00396CFE" w:rsidRPr="00CE2051" w:rsidRDefault="00396CFE" w:rsidP="00396CFE">
            <w:pPr>
              <w:pStyle w:val="ListParagraph"/>
              <w:numPr>
                <w:ilvl w:val="1"/>
                <w:numId w:val="7"/>
              </w:numPr>
              <w:spacing w:after="0" w:line="240" w:lineRule="auto"/>
              <w:rPr>
                <w:rFonts w:ascii="Arial" w:hAnsi="Arial" w:cs="Arial"/>
                <w:sz w:val="20"/>
                <w:szCs w:val="20"/>
              </w:rPr>
            </w:pPr>
            <w:r w:rsidRPr="00CE2051">
              <w:rPr>
                <w:rFonts w:ascii="Arial" w:hAnsi="Arial" w:cs="Arial"/>
                <w:sz w:val="20"/>
                <w:szCs w:val="20"/>
              </w:rPr>
              <w:t>you hand in work without a complete heading</w:t>
            </w:r>
          </w:p>
          <w:p w:rsidR="00396CFE" w:rsidRPr="00CE2051" w:rsidRDefault="00396CFE" w:rsidP="00396CFE">
            <w:pPr>
              <w:pStyle w:val="ListParagraph"/>
              <w:numPr>
                <w:ilvl w:val="1"/>
                <w:numId w:val="7"/>
              </w:numPr>
              <w:spacing w:after="0" w:line="240" w:lineRule="auto"/>
              <w:rPr>
                <w:rFonts w:ascii="Arial" w:hAnsi="Arial" w:cs="Arial"/>
                <w:sz w:val="20"/>
                <w:szCs w:val="20"/>
              </w:rPr>
            </w:pPr>
            <w:r w:rsidRPr="00CE2051">
              <w:rPr>
                <w:rFonts w:ascii="Arial" w:hAnsi="Arial" w:cs="Arial"/>
                <w:sz w:val="20"/>
                <w:szCs w:val="20"/>
              </w:rPr>
              <w:t>there is no work shown</w:t>
            </w:r>
          </w:p>
          <w:p w:rsidR="00396CFE" w:rsidRPr="00CE2051" w:rsidRDefault="00396CFE" w:rsidP="00396CFE">
            <w:pPr>
              <w:pStyle w:val="ListParagraph"/>
              <w:numPr>
                <w:ilvl w:val="1"/>
                <w:numId w:val="7"/>
              </w:numPr>
              <w:spacing w:after="0" w:line="240" w:lineRule="auto"/>
              <w:rPr>
                <w:rFonts w:ascii="Arial" w:hAnsi="Arial" w:cs="Arial"/>
                <w:sz w:val="20"/>
                <w:szCs w:val="20"/>
              </w:rPr>
            </w:pPr>
            <w:r w:rsidRPr="00CE2051">
              <w:rPr>
                <w:rFonts w:ascii="Arial" w:hAnsi="Arial" w:cs="Arial"/>
                <w:sz w:val="20"/>
                <w:szCs w:val="20"/>
              </w:rPr>
              <w:t>your work is illegible or messy</w:t>
            </w:r>
          </w:p>
          <w:p w:rsidR="00396CFE" w:rsidRPr="00CE2051" w:rsidRDefault="00396CFE">
            <w:pPr>
              <w:rPr>
                <w:szCs w:val="20"/>
              </w:rPr>
            </w:pPr>
          </w:p>
          <w:p w:rsidR="00396CFE" w:rsidRPr="00CE2051" w:rsidRDefault="00396CFE" w:rsidP="00396CFE">
            <w:pPr>
              <w:rPr>
                <w:rFonts w:cs="Arial"/>
                <w:szCs w:val="20"/>
              </w:rPr>
            </w:pPr>
            <w:r w:rsidRPr="00CE2051">
              <w:rPr>
                <w:rFonts w:cs="Arial"/>
                <w:szCs w:val="20"/>
              </w:rPr>
              <w:t>Here are a few tips to keep in mind while completing your homework and other assignments:</w:t>
            </w:r>
          </w:p>
          <w:p w:rsidR="00396CFE" w:rsidRPr="00CE2051" w:rsidRDefault="00396CFE" w:rsidP="00396CFE">
            <w:pPr>
              <w:pStyle w:val="ListParagraph"/>
              <w:numPr>
                <w:ilvl w:val="0"/>
                <w:numId w:val="9"/>
              </w:numPr>
              <w:spacing w:after="0" w:line="240" w:lineRule="auto"/>
              <w:rPr>
                <w:rFonts w:ascii="Arial" w:hAnsi="Arial" w:cs="Arial"/>
                <w:sz w:val="20"/>
                <w:szCs w:val="20"/>
              </w:rPr>
            </w:pPr>
            <w:proofErr w:type="gramStart"/>
            <w:r w:rsidRPr="00CE2051">
              <w:rPr>
                <w:rFonts w:ascii="Arial" w:hAnsi="Arial" w:cs="Arial"/>
                <w:sz w:val="20"/>
                <w:szCs w:val="20"/>
              </w:rPr>
              <w:t>follow</w:t>
            </w:r>
            <w:proofErr w:type="gramEnd"/>
            <w:r w:rsidRPr="00CE2051">
              <w:rPr>
                <w:rFonts w:ascii="Arial" w:hAnsi="Arial" w:cs="Arial"/>
                <w:sz w:val="20"/>
                <w:szCs w:val="20"/>
              </w:rPr>
              <w:t xml:space="preserve"> assignment instructions and rubrics like a recipe.</w:t>
            </w:r>
          </w:p>
          <w:p w:rsidR="00396CFE" w:rsidRPr="00CE2051" w:rsidRDefault="00396CFE" w:rsidP="00396CFE">
            <w:pPr>
              <w:pStyle w:val="ListParagraph"/>
              <w:numPr>
                <w:ilvl w:val="0"/>
                <w:numId w:val="9"/>
              </w:numPr>
              <w:spacing w:after="0" w:line="240" w:lineRule="auto"/>
              <w:rPr>
                <w:rFonts w:ascii="Arial" w:hAnsi="Arial" w:cs="Arial"/>
                <w:sz w:val="20"/>
                <w:szCs w:val="20"/>
              </w:rPr>
            </w:pPr>
            <w:r w:rsidRPr="00CE2051">
              <w:rPr>
                <w:rFonts w:ascii="Arial" w:hAnsi="Arial" w:cs="Arial"/>
                <w:sz w:val="20"/>
                <w:szCs w:val="20"/>
              </w:rPr>
              <w:t>Show your work!</w:t>
            </w:r>
          </w:p>
          <w:p w:rsidR="00396CFE" w:rsidRPr="00CE2051" w:rsidRDefault="00396CFE" w:rsidP="00396CFE">
            <w:pPr>
              <w:pStyle w:val="ListParagraph"/>
              <w:numPr>
                <w:ilvl w:val="0"/>
                <w:numId w:val="9"/>
              </w:numPr>
              <w:spacing w:after="0" w:line="240" w:lineRule="auto"/>
              <w:rPr>
                <w:rFonts w:ascii="Arial" w:hAnsi="Arial" w:cs="Arial"/>
                <w:sz w:val="20"/>
                <w:szCs w:val="20"/>
              </w:rPr>
            </w:pPr>
            <w:proofErr w:type="gramStart"/>
            <w:r w:rsidRPr="00CE2051">
              <w:rPr>
                <w:rFonts w:ascii="Arial" w:hAnsi="Arial" w:cs="Arial"/>
                <w:sz w:val="20"/>
                <w:szCs w:val="20"/>
              </w:rPr>
              <w:t>use</w:t>
            </w:r>
            <w:proofErr w:type="gramEnd"/>
            <w:r w:rsidRPr="00CE2051">
              <w:rPr>
                <w:rFonts w:ascii="Arial" w:hAnsi="Arial" w:cs="Arial"/>
                <w:sz w:val="20"/>
                <w:szCs w:val="20"/>
              </w:rPr>
              <w:t xml:space="preserve"> pencil and erase for handwritten work.  </w:t>
            </w:r>
          </w:p>
          <w:p w:rsidR="00396CFE" w:rsidRPr="00CE2051" w:rsidRDefault="00396CFE" w:rsidP="00396CFE">
            <w:pPr>
              <w:pStyle w:val="ListParagraph"/>
              <w:numPr>
                <w:ilvl w:val="0"/>
                <w:numId w:val="9"/>
              </w:numPr>
              <w:spacing w:after="0" w:line="240" w:lineRule="auto"/>
              <w:rPr>
                <w:rFonts w:ascii="Arial" w:hAnsi="Arial" w:cs="Arial"/>
                <w:sz w:val="20"/>
                <w:szCs w:val="20"/>
              </w:rPr>
            </w:pPr>
            <w:r w:rsidRPr="00CE2051">
              <w:rPr>
                <w:rFonts w:ascii="Arial" w:hAnsi="Arial" w:cs="Arial"/>
                <w:sz w:val="20"/>
                <w:szCs w:val="20"/>
              </w:rPr>
              <w:t>double check your work</w:t>
            </w:r>
          </w:p>
          <w:p w:rsidR="00396CFE" w:rsidRPr="00CE2051" w:rsidRDefault="00396CFE" w:rsidP="00396CFE">
            <w:pPr>
              <w:pStyle w:val="ListParagraph"/>
              <w:numPr>
                <w:ilvl w:val="0"/>
                <w:numId w:val="9"/>
              </w:numPr>
              <w:spacing w:after="0" w:line="240" w:lineRule="auto"/>
              <w:rPr>
                <w:rFonts w:ascii="Arial" w:hAnsi="Arial" w:cs="Arial"/>
                <w:sz w:val="20"/>
                <w:szCs w:val="20"/>
              </w:rPr>
            </w:pPr>
            <w:proofErr w:type="gramStart"/>
            <w:r w:rsidRPr="00CE2051">
              <w:rPr>
                <w:rFonts w:ascii="Arial" w:hAnsi="Arial" w:cs="Arial"/>
                <w:sz w:val="20"/>
                <w:szCs w:val="20"/>
              </w:rPr>
              <w:t>use</w:t>
            </w:r>
            <w:proofErr w:type="gramEnd"/>
            <w:r w:rsidRPr="00CE2051">
              <w:rPr>
                <w:rFonts w:ascii="Arial" w:hAnsi="Arial" w:cs="Arial"/>
                <w:sz w:val="20"/>
                <w:szCs w:val="20"/>
              </w:rPr>
              <w:t xml:space="preserve"> the Better Answer Method. (BAM)</w:t>
            </w:r>
          </w:p>
          <w:p w:rsidR="00396CFE" w:rsidRPr="00CE2051" w:rsidRDefault="00396CFE">
            <w:pPr>
              <w:rPr>
                <w:szCs w:val="20"/>
              </w:rPr>
            </w:pPr>
          </w:p>
          <w:p w:rsidR="00396CFE" w:rsidRPr="00CE2051" w:rsidRDefault="00396CFE" w:rsidP="0093259C">
            <w:pPr>
              <w:rPr>
                <w:szCs w:val="20"/>
              </w:rPr>
            </w:pPr>
          </w:p>
        </w:tc>
      </w:tr>
      <w:tr w:rsidR="00F509F9" w:rsidTr="00F509F9">
        <w:tc>
          <w:tcPr>
            <w:tcW w:w="9576" w:type="dxa"/>
            <w:shd w:val="clear" w:color="auto" w:fill="548DD4" w:themeFill="text2" w:themeFillTint="99"/>
          </w:tcPr>
          <w:p w:rsidR="00F509F9" w:rsidRPr="00F509F9" w:rsidRDefault="00F509F9" w:rsidP="00F509F9">
            <w:pPr>
              <w:tabs>
                <w:tab w:val="left" w:pos="7575"/>
              </w:tabs>
              <w:rPr>
                <w:sz w:val="32"/>
                <w:szCs w:val="32"/>
              </w:rPr>
            </w:pPr>
            <w:r w:rsidRPr="00F509F9">
              <w:rPr>
                <w:sz w:val="32"/>
                <w:szCs w:val="32"/>
              </w:rPr>
              <w:t>GRADING POLICY AND REPORT CARDS</w:t>
            </w:r>
            <w:r>
              <w:rPr>
                <w:sz w:val="32"/>
                <w:szCs w:val="32"/>
              </w:rPr>
              <w:tab/>
            </w:r>
          </w:p>
        </w:tc>
      </w:tr>
      <w:tr w:rsidR="00F509F9" w:rsidTr="00833F04">
        <w:tc>
          <w:tcPr>
            <w:tcW w:w="9576" w:type="dxa"/>
          </w:tcPr>
          <w:p w:rsidR="00F509F9" w:rsidRPr="00CE2051" w:rsidRDefault="00F509F9" w:rsidP="00F509F9">
            <w:pPr>
              <w:rPr>
                <w:szCs w:val="20"/>
              </w:rPr>
            </w:pPr>
            <w:r w:rsidRPr="00CE2051">
              <w:rPr>
                <w:szCs w:val="20"/>
              </w:rPr>
              <w:t xml:space="preserve">Students will be graded on their ability to master the standards at their academic level.  All student grades will be based solely on summative assessments. </w:t>
            </w:r>
          </w:p>
          <w:p w:rsidR="00F509F9" w:rsidRPr="00CE2051" w:rsidRDefault="00F509F9" w:rsidP="00F509F9">
            <w:pPr>
              <w:rPr>
                <w:szCs w:val="20"/>
              </w:rPr>
            </w:pPr>
          </w:p>
          <w:p w:rsidR="00F509F9" w:rsidRPr="00CE2051" w:rsidRDefault="00F509F9" w:rsidP="00F509F9">
            <w:pPr>
              <w:rPr>
                <w:szCs w:val="20"/>
              </w:rPr>
            </w:pPr>
            <w:r w:rsidRPr="00CE2051">
              <w:rPr>
                <w:szCs w:val="20"/>
              </w:rPr>
              <w:t>This year all</w:t>
            </w:r>
            <w:r w:rsidR="008636FE" w:rsidRPr="00CE2051">
              <w:rPr>
                <w:szCs w:val="20"/>
              </w:rPr>
              <w:t xml:space="preserve"> students will receive the standards based</w:t>
            </w:r>
            <w:r w:rsidRPr="00CE2051">
              <w:rPr>
                <w:szCs w:val="20"/>
              </w:rPr>
              <w:t xml:space="preserve"> report cards will be based on the Common Core State Standards.  Each student is expected to master the standards taught in their course.  Report cards will be provided on a 12 week</w:t>
            </w:r>
            <w:r w:rsidR="008636FE" w:rsidRPr="00CE2051">
              <w:rPr>
                <w:szCs w:val="20"/>
              </w:rPr>
              <w:t xml:space="preserve"> trimester</w:t>
            </w:r>
            <w:r w:rsidRPr="00CE2051">
              <w:rPr>
                <w:szCs w:val="20"/>
              </w:rPr>
              <w:t>, which means ther</w:t>
            </w:r>
            <w:r w:rsidR="008636FE" w:rsidRPr="00CE2051">
              <w:rPr>
                <w:szCs w:val="20"/>
              </w:rPr>
              <w:t>e will be only three (3)</w:t>
            </w:r>
            <w:r w:rsidRPr="00CE2051">
              <w:rPr>
                <w:szCs w:val="20"/>
              </w:rPr>
              <w:t xml:space="preserve"> report cards given throughout the school year.  </w:t>
            </w:r>
            <w:r w:rsidR="008636FE" w:rsidRPr="00CE2051">
              <w:rPr>
                <w:szCs w:val="20"/>
              </w:rPr>
              <w:t xml:space="preserve">Additionally, (3) interim reports will be provided to parents each trimester period.  </w:t>
            </w:r>
          </w:p>
          <w:p w:rsidR="00F509F9" w:rsidRPr="00CE2051" w:rsidRDefault="00F509F9" w:rsidP="00F509F9">
            <w:pPr>
              <w:rPr>
                <w:szCs w:val="20"/>
              </w:rPr>
            </w:pPr>
          </w:p>
          <w:p w:rsidR="00F509F9" w:rsidRPr="00CE2051" w:rsidRDefault="00F509F9" w:rsidP="00F509F9">
            <w:pPr>
              <w:rPr>
                <w:szCs w:val="20"/>
              </w:rPr>
            </w:pPr>
            <w:r w:rsidRPr="00CE2051">
              <w:rPr>
                <w:szCs w:val="20"/>
              </w:rPr>
              <w:t>The Academic and Effort Scale that will be used to assess student mastery will be as follows:</w:t>
            </w:r>
          </w:p>
          <w:p w:rsidR="00F509F9" w:rsidRPr="00CE2051" w:rsidRDefault="00F509F9" w:rsidP="00F509F9">
            <w:pPr>
              <w:rPr>
                <w:szCs w:val="20"/>
              </w:rPr>
            </w:pPr>
          </w:p>
          <w:tbl>
            <w:tblPr>
              <w:tblStyle w:val="TableGrid"/>
              <w:tblW w:w="0" w:type="auto"/>
              <w:tblLook w:val="04A0" w:firstRow="1" w:lastRow="0" w:firstColumn="1" w:lastColumn="0" w:noHBand="0" w:noVBand="1"/>
            </w:tblPr>
            <w:tblGrid>
              <w:gridCol w:w="728"/>
              <w:gridCol w:w="1698"/>
              <w:gridCol w:w="3453"/>
              <w:gridCol w:w="3245"/>
            </w:tblGrid>
            <w:tr w:rsidR="00F509F9" w:rsidRPr="00CE2051" w:rsidTr="0048619D">
              <w:tc>
                <w:tcPr>
                  <w:tcW w:w="805" w:type="dxa"/>
                </w:tcPr>
                <w:p w:rsidR="00F509F9" w:rsidRPr="00CE2051" w:rsidRDefault="00F509F9" w:rsidP="0048619D">
                  <w:pPr>
                    <w:rPr>
                      <w:szCs w:val="20"/>
                    </w:rPr>
                  </w:pPr>
                  <w:r w:rsidRPr="00CE2051">
                    <w:rPr>
                      <w:szCs w:val="20"/>
                    </w:rPr>
                    <w:t>AD</w:t>
                  </w:r>
                </w:p>
              </w:tc>
              <w:tc>
                <w:tcPr>
                  <w:tcW w:w="1890" w:type="dxa"/>
                </w:tcPr>
                <w:p w:rsidR="00F509F9" w:rsidRPr="00CE2051" w:rsidRDefault="00F509F9" w:rsidP="0048619D">
                  <w:pPr>
                    <w:rPr>
                      <w:szCs w:val="20"/>
                    </w:rPr>
                  </w:pPr>
                  <w:r w:rsidRPr="00CE2051">
                    <w:rPr>
                      <w:szCs w:val="20"/>
                    </w:rPr>
                    <w:t>Advanced</w:t>
                  </w:r>
                </w:p>
              </w:tc>
              <w:tc>
                <w:tcPr>
                  <w:tcW w:w="4140" w:type="dxa"/>
                </w:tcPr>
                <w:p w:rsidR="00F509F9" w:rsidRPr="00CE2051" w:rsidRDefault="00F509F9" w:rsidP="0048619D">
                  <w:pPr>
                    <w:rPr>
                      <w:szCs w:val="20"/>
                    </w:rPr>
                  </w:pPr>
                  <w:r w:rsidRPr="00CE2051">
                    <w:rPr>
                      <w:szCs w:val="20"/>
                    </w:rPr>
                    <w:t>Exceeding grade level expectations</w:t>
                  </w:r>
                </w:p>
              </w:tc>
              <w:tc>
                <w:tcPr>
                  <w:tcW w:w="3842" w:type="dxa"/>
                </w:tcPr>
                <w:p w:rsidR="00F509F9" w:rsidRPr="00CE2051" w:rsidRDefault="00F509F9" w:rsidP="0048619D">
                  <w:pPr>
                    <w:rPr>
                      <w:szCs w:val="20"/>
                    </w:rPr>
                  </w:pPr>
                  <w:r w:rsidRPr="00CE2051">
                    <w:rPr>
                      <w:szCs w:val="20"/>
                    </w:rPr>
                    <w:t>Opportunities for work that exceeds grade level expectations must be given.</w:t>
                  </w:r>
                </w:p>
              </w:tc>
            </w:tr>
            <w:tr w:rsidR="00F509F9" w:rsidRPr="00CE2051" w:rsidTr="0048619D">
              <w:tc>
                <w:tcPr>
                  <w:tcW w:w="805" w:type="dxa"/>
                </w:tcPr>
                <w:p w:rsidR="00F509F9" w:rsidRPr="00CE2051" w:rsidRDefault="00F509F9" w:rsidP="0048619D">
                  <w:pPr>
                    <w:rPr>
                      <w:szCs w:val="20"/>
                    </w:rPr>
                  </w:pPr>
                  <w:r w:rsidRPr="00CE2051">
                    <w:rPr>
                      <w:szCs w:val="20"/>
                    </w:rPr>
                    <w:t>PR</w:t>
                  </w:r>
                </w:p>
              </w:tc>
              <w:tc>
                <w:tcPr>
                  <w:tcW w:w="1890" w:type="dxa"/>
                </w:tcPr>
                <w:p w:rsidR="00F509F9" w:rsidRPr="00CE2051" w:rsidRDefault="00F509F9" w:rsidP="0048619D">
                  <w:pPr>
                    <w:rPr>
                      <w:szCs w:val="20"/>
                    </w:rPr>
                  </w:pPr>
                  <w:r w:rsidRPr="00CE2051">
                    <w:rPr>
                      <w:szCs w:val="20"/>
                    </w:rPr>
                    <w:t>Proficient</w:t>
                  </w:r>
                </w:p>
              </w:tc>
              <w:tc>
                <w:tcPr>
                  <w:tcW w:w="4140" w:type="dxa"/>
                </w:tcPr>
                <w:p w:rsidR="00F509F9" w:rsidRPr="00CE2051" w:rsidRDefault="00F509F9" w:rsidP="0048619D">
                  <w:pPr>
                    <w:rPr>
                      <w:szCs w:val="20"/>
                    </w:rPr>
                  </w:pPr>
                  <w:r w:rsidRPr="00CE2051">
                    <w:rPr>
                      <w:szCs w:val="20"/>
                    </w:rPr>
                    <w:t>Meeting grade level expectations</w:t>
                  </w:r>
                </w:p>
              </w:tc>
              <w:tc>
                <w:tcPr>
                  <w:tcW w:w="3842" w:type="dxa"/>
                </w:tcPr>
                <w:p w:rsidR="00F509F9" w:rsidRPr="00CE2051" w:rsidRDefault="00F509F9" w:rsidP="0048619D">
                  <w:pPr>
                    <w:rPr>
                      <w:szCs w:val="20"/>
                    </w:rPr>
                  </w:pPr>
                  <w:r w:rsidRPr="00CE2051">
                    <w:rPr>
                      <w:szCs w:val="20"/>
                    </w:rPr>
                    <w:t>PR is the goal for all students in all areas by the end of the school year.</w:t>
                  </w:r>
                </w:p>
              </w:tc>
            </w:tr>
            <w:tr w:rsidR="00F509F9" w:rsidRPr="00CE2051" w:rsidTr="0048619D">
              <w:tc>
                <w:tcPr>
                  <w:tcW w:w="805" w:type="dxa"/>
                </w:tcPr>
                <w:p w:rsidR="00F509F9" w:rsidRPr="00CE2051" w:rsidRDefault="00F509F9" w:rsidP="0048619D">
                  <w:pPr>
                    <w:rPr>
                      <w:szCs w:val="20"/>
                    </w:rPr>
                  </w:pPr>
                  <w:r w:rsidRPr="00CE2051">
                    <w:rPr>
                      <w:szCs w:val="20"/>
                    </w:rPr>
                    <w:t>BA</w:t>
                  </w:r>
                </w:p>
              </w:tc>
              <w:tc>
                <w:tcPr>
                  <w:tcW w:w="1890" w:type="dxa"/>
                </w:tcPr>
                <w:p w:rsidR="00F509F9" w:rsidRPr="00CE2051" w:rsidRDefault="00F509F9" w:rsidP="0048619D">
                  <w:pPr>
                    <w:rPr>
                      <w:szCs w:val="20"/>
                    </w:rPr>
                  </w:pPr>
                  <w:r w:rsidRPr="00CE2051">
                    <w:rPr>
                      <w:szCs w:val="20"/>
                    </w:rPr>
                    <w:t>Basic</w:t>
                  </w:r>
                </w:p>
              </w:tc>
              <w:tc>
                <w:tcPr>
                  <w:tcW w:w="4140" w:type="dxa"/>
                </w:tcPr>
                <w:p w:rsidR="00F509F9" w:rsidRPr="00CE2051" w:rsidRDefault="00F509F9" w:rsidP="0048619D">
                  <w:pPr>
                    <w:rPr>
                      <w:szCs w:val="20"/>
                    </w:rPr>
                  </w:pPr>
                  <w:r w:rsidRPr="00CE2051">
                    <w:rPr>
                      <w:szCs w:val="20"/>
                    </w:rPr>
                    <w:t>Just below grade level expectations</w:t>
                  </w:r>
                </w:p>
              </w:tc>
              <w:tc>
                <w:tcPr>
                  <w:tcW w:w="3842" w:type="dxa"/>
                </w:tcPr>
                <w:p w:rsidR="00F509F9" w:rsidRPr="00CE2051" w:rsidRDefault="00F509F9" w:rsidP="0048619D">
                  <w:pPr>
                    <w:rPr>
                      <w:szCs w:val="20"/>
                    </w:rPr>
                  </w:pPr>
                  <w:r w:rsidRPr="00CE2051">
                    <w:rPr>
                      <w:szCs w:val="20"/>
                    </w:rPr>
                    <w:t>Student is within a year of grade level expectations, student is “on the bubble” and should be able to reach proficiency with some effort.</w:t>
                  </w:r>
                </w:p>
              </w:tc>
            </w:tr>
            <w:tr w:rsidR="00F509F9" w:rsidRPr="00CE2051" w:rsidTr="0048619D">
              <w:tc>
                <w:tcPr>
                  <w:tcW w:w="805" w:type="dxa"/>
                </w:tcPr>
                <w:p w:rsidR="00F509F9" w:rsidRPr="00CE2051" w:rsidRDefault="00F509F9" w:rsidP="0048619D">
                  <w:pPr>
                    <w:rPr>
                      <w:szCs w:val="20"/>
                    </w:rPr>
                  </w:pPr>
                  <w:r w:rsidRPr="00CE2051">
                    <w:rPr>
                      <w:szCs w:val="20"/>
                    </w:rPr>
                    <w:t>MI</w:t>
                  </w:r>
                </w:p>
              </w:tc>
              <w:tc>
                <w:tcPr>
                  <w:tcW w:w="1890" w:type="dxa"/>
                </w:tcPr>
                <w:p w:rsidR="00F509F9" w:rsidRPr="00CE2051" w:rsidRDefault="00F509F9" w:rsidP="0048619D">
                  <w:pPr>
                    <w:rPr>
                      <w:szCs w:val="20"/>
                    </w:rPr>
                  </w:pPr>
                  <w:r w:rsidRPr="00CE2051">
                    <w:rPr>
                      <w:szCs w:val="20"/>
                    </w:rPr>
                    <w:t>Minimal</w:t>
                  </w:r>
                </w:p>
              </w:tc>
              <w:tc>
                <w:tcPr>
                  <w:tcW w:w="4140" w:type="dxa"/>
                </w:tcPr>
                <w:p w:rsidR="00F509F9" w:rsidRPr="00CE2051" w:rsidRDefault="00F509F9" w:rsidP="0048619D">
                  <w:pPr>
                    <w:rPr>
                      <w:szCs w:val="20"/>
                    </w:rPr>
                  </w:pPr>
                  <w:r w:rsidRPr="00CE2051">
                    <w:rPr>
                      <w:szCs w:val="20"/>
                    </w:rPr>
                    <w:t>Far below grade level expectations</w:t>
                  </w:r>
                </w:p>
              </w:tc>
              <w:tc>
                <w:tcPr>
                  <w:tcW w:w="3842" w:type="dxa"/>
                </w:tcPr>
                <w:p w:rsidR="00F509F9" w:rsidRPr="00CE2051" w:rsidRDefault="00F509F9" w:rsidP="0048619D">
                  <w:pPr>
                    <w:rPr>
                      <w:szCs w:val="20"/>
                    </w:rPr>
                  </w:pPr>
                  <w:r w:rsidRPr="00CE2051">
                    <w:rPr>
                      <w:szCs w:val="20"/>
                    </w:rPr>
                    <w:t>Student is more than a year behind grade level expectations, student is working to reach proficiency but much addition effort will be needed.</w:t>
                  </w:r>
                </w:p>
              </w:tc>
            </w:tr>
          </w:tbl>
          <w:p w:rsidR="00F509F9" w:rsidRPr="00CE2051" w:rsidRDefault="00F509F9">
            <w:pPr>
              <w:rPr>
                <w:szCs w:val="20"/>
              </w:rPr>
            </w:pPr>
          </w:p>
        </w:tc>
      </w:tr>
      <w:tr w:rsidR="00F509F9" w:rsidTr="00833F04">
        <w:tc>
          <w:tcPr>
            <w:tcW w:w="9576" w:type="dxa"/>
          </w:tcPr>
          <w:p w:rsidR="00F509F9" w:rsidRPr="00CE2051" w:rsidRDefault="00F509F9">
            <w:pPr>
              <w:rPr>
                <w:szCs w:val="20"/>
              </w:rPr>
            </w:pPr>
          </w:p>
        </w:tc>
      </w:tr>
    </w:tbl>
    <w:p w:rsidR="00833F04" w:rsidRDefault="00833F04"/>
    <w:sectPr w:rsidR="00833F04" w:rsidSect="00F958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A205C"/>
    <w:multiLevelType w:val="hybridMultilevel"/>
    <w:tmpl w:val="D7BE56DE"/>
    <w:lvl w:ilvl="0" w:tplc="2E480284">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9354D0A"/>
    <w:multiLevelType w:val="hybridMultilevel"/>
    <w:tmpl w:val="7072572A"/>
    <w:lvl w:ilvl="0" w:tplc="30442BBE">
      <w:start w:val="1"/>
      <w:numFmt w:val="upperLetter"/>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2" w15:restartNumberingAfterBreak="0">
    <w:nsid w:val="45336AC3"/>
    <w:multiLevelType w:val="hybridMultilevel"/>
    <w:tmpl w:val="DD4437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E2DB4"/>
    <w:multiLevelType w:val="hybridMultilevel"/>
    <w:tmpl w:val="2492428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15:restartNumberingAfterBreak="0">
    <w:nsid w:val="4F164BAF"/>
    <w:multiLevelType w:val="hybridMultilevel"/>
    <w:tmpl w:val="D106725C"/>
    <w:lvl w:ilvl="0" w:tplc="152E0A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FE6BAF"/>
    <w:multiLevelType w:val="hybridMultilevel"/>
    <w:tmpl w:val="0E6C8D74"/>
    <w:lvl w:ilvl="0" w:tplc="5F48E5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634266D"/>
    <w:multiLevelType w:val="hybridMultilevel"/>
    <w:tmpl w:val="9D60EEE6"/>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7" w15:restartNumberingAfterBreak="0">
    <w:nsid w:val="68AD78EA"/>
    <w:multiLevelType w:val="hybridMultilevel"/>
    <w:tmpl w:val="E4925C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61928"/>
    <w:multiLevelType w:val="hybridMultilevel"/>
    <w:tmpl w:val="E2D49258"/>
    <w:lvl w:ilvl="0" w:tplc="BB1E687C">
      <w:start w:val="1"/>
      <w:numFmt w:val="decimal"/>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9" w15:restartNumberingAfterBreak="0">
    <w:nsid w:val="7D6601D1"/>
    <w:multiLevelType w:val="hybridMultilevel"/>
    <w:tmpl w:val="4F5839A6"/>
    <w:lvl w:ilvl="0" w:tplc="CEC62C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9C"/>
    <w:rsid w:val="00061A24"/>
    <w:rsid w:val="00083D74"/>
    <w:rsid w:val="000A1A65"/>
    <w:rsid w:val="000C7E13"/>
    <w:rsid w:val="000E58DF"/>
    <w:rsid w:val="000F4590"/>
    <w:rsid w:val="00177F62"/>
    <w:rsid w:val="001C01DE"/>
    <w:rsid w:val="002650B3"/>
    <w:rsid w:val="002F1098"/>
    <w:rsid w:val="00320AC3"/>
    <w:rsid w:val="00335B4B"/>
    <w:rsid w:val="003770FA"/>
    <w:rsid w:val="00396CFE"/>
    <w:rsid w:val="003C0D0A"/>
    <w:rsid w:val="00426021"/>
    <w:rsid w:val="004670EF"/>
    <w:rsid w:val="00496715"/>
    <w:rsid w:val="004A7FFC"/>
    <w:rsid w:val="004D1976"/>
    <w:rsid w:val="004E798C"/>
    <w:rsid w:val="0050651F"/>
    <w:rsid w:val="00551F11"/>
    <w:rsid w:val="005F7F77"/>
    <w:rsid w:val="006662EC"/>
    <w:rsid w:val="00672F5D"/>
    <w:rsid w:val="00686070"/>
    <w:rsid w:val="006A5315"/>
    <w:rsid w:val="00746CBA"/>
    <w:rsid w:val="00752AC8"/>
    <w:rsid w:val="007B22E3"/>
    <w:rsid w:val="00833F04"/>
    <w:rsid w:val="0083491E"/>
    <w:rsid w:val="008636FE"/>
    <w:rsid w:val="00892053"/>
    <w:rsid w:val="008B37CF"/>
    <w:rsid w:val="008F6F70"/>
    <w:rsid w:val="0090774A"/>
    <w:rsid w:val="0093259C"/>
    <w:rsid w:val="00933154"/>
    <w:rsid w:val="00957AE9"/>
    <w:rsid w:val="00997FCE"/>
    <w:rsid w:val="009D29B0"/>
    <w:rsid w:val="009E57F4"/>
    <w:rsid w:val="00A47609"/>
    <w:rsid w:val="00A91C9C"/>
    <w:rsid w:val="00AC7FC2"/>
    <w:rsid w:val="00B425FA"/>
    <w:rsid w:val="00B85161"/>
    <w:rsid w:val="00BC5B57"/>
    <w:rsid w:val="00C52044"/>
    <w:rsid w:val="00CE2051"/>
    <w:rsid w:val="00D57D31"/>
    <w:rsid w:val="00DB0DA8"/>
    <w:rsid w:val="00DB25A2"/>
    <w:rsid w:val="00DE0C51"/>
    <w:rsid w:val="00DF1B83"/>
    <w:rsid w:val="00E010B1"/>
    <w:rsid w:val="00EB0F26"/>
    <w:rsid w:val="00F509F9"/>
    <w:rsid w:val="00F958F3"/>
    <w:rsid w:val="00FE2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B515"/>
  <w15:docId w15:val="{095995F4-F466-4609-8031-08E868B33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F04"/>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3F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33F04"/>
    <w:rPr>
      <w:rFonts w:ascii="Tahoma" w:hAnsi="Tahoma" w:cs="Tahoma"/>
      <w:sz w:val="16"/>
      <w:szCs w:val="16"/>
    </w:rPr>
  </w:style>
  <w:style w:type="table" w:styleId="TableGrid">
    <w:name w:val="Table Grid"/>
    <w:basedOn w:val="TableNormal"/>
    <w:rsid w:val="00833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29B0"/>
    <w:rPr>
      <w:color w:val="808080"/>
    </w:rPr>
  </w:style>
  <w:style w:type="character" w:styleId="Hyperlink">
    <w:name w:val="Hyperlink"/>
    <w:basedOn w:val="DefaultParagraphFont"/>
    <w:uiPriority w:val="99"/>
    <w:unhideWhenUsed/>
    <w:rsid w:val="00B85161"/>
    <w:rPr>
      <w:color w:val="0000FF" w:themeColor="hyperlink"/>
      <w:u w:val="single"/>
    </w:rPr>
  </w:style>
  <w:style w:type="paragraph" w:styleId="ListParagraph">
    <w:name w:val="List Paragraph"/>
    <w:basedOn w:val="Normal"/>
    <w:uiPriority w:val="34"/>
    <w:qFormat/>
    <w:rsid w:val="00672F5D"/>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01467">
      <w:bodyDiv w:val="1"/>
      <w:marLeft w:val="0"/>
      <w:marRight w:val="0"/>
      <w:marTop w:val="0"/>
      <w:marBottom w:val="0"/>
      <w:divBdr>
        <w:top w:val="none" w:sz="0" w:space="0" w:color="auto"/>
        <w:left w:val="none" w:sz="0" w:space="0" w:color="auto"/>
        <w:bottom w:val="none" w:sz="0" w:space="0" w:color="auto"/>
        <w:right w:val="none" w:sz="0" w:space="0" w:color="auto"/>
      </w:divBdr>
    </w:div>
    <w:div w:id="1155878608">
      <w:bodyDiv w:val="1"/>
      <w:marLeft w:val="0"/>
      <w:marRight w:val="0"/>
      <w:marTop w:val="0"/>
      <w:marBottom w:val="0"/>
      <w:divBdr>
        <w:top w:val="none" w:sz="0" w:space="0" w:color="auto"/>
        <w:left w:val="none" w:sz="0" w:space="0" w:color="auto"/>
        <w:bottom w:val="none" w:sz="0" w:space="0" w:color="auto"/>
        <w:right w:val="none" w:sz="0" w:space="0" w:color="auto"/>
      </w:divBdr>
    </w:div>
    <w:div w:id="1564949034">
      <w:bodyDiv w:val="1"/>
      <w:marLeft w:val="0"/>
      <w:marRight w:val="0"/>
      <w:marTop w:val="0"/>
      <w:marBottom w:val="0"/>
      <w:divBdr>
        <w:top w:val="none" w:sz="0" w:space="0" w:color="auto"/>
        <w:left w:val="none" w:sz="0" w:space="0" w:color="auto"/>
        <w:bottom w:val="none" w:sz="0" w:space="0" w:color="auto"/>
        <w:right w:val="none" w:sz="0" w:space="0" w:color="auto"/>
      </w:divBdr>
    </w:div>
    <w:div w:id="206140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anacademy.org" TargetMode="External"/><Relationship Id="rId3" Type="http://schemas.openxmlformats.org/officeDocument/2006/relationships/styles" Target="styles.xml"/><Relationship Id="rId7" Type="http://schemas.openxmlformats.org/officeDocument/2006/relationships/hyperlink" Target="mailto:benzd@milwaukee.k12.wi.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useydx\AppData\Local\Microsoft\Windows\Temporary%20Internet%20Files\Content.Outlook\ZV5W8C9I\GOLDA%20LOWER%20CAMPUS%20SYLLABU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A6624-760B-4D32-B075-089499F54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GOLDA LOWER CAMPUS SYLLABUS TEMPLATE (2)</Template>
  <TotalTime>0</TotalTime>
  <Pages>4</Pages>
  <Words>1364</Words>
  <Characters>7776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9122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Benz, David</cp:lastModifiedBy>
  <cp:revision>3</cp:revision>
  <cp:lastPrinted>2016-09-12T12:02:00Z</cp:lastPrinted>
  <dcterms:created xsi:type="dcterms:W3CDTF">2017-09-12T21:19:00Z</dcterms:created>
  <dcterms:modified xsi:type="dcterms:W3CDTF">2017-09-12T21:19:00Z</dcterms:modified>
</cp:coreProperties>
</file>